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A7E86" w14:textId="26B425E7" w:rsidR="009726CE" w:rsidRPr="001C1672" w:rsidRDefault="009726CE" w:rsidP="000D0081">
      <w:pPr>
        <w:pStyle w:val="NormalWeb"/>
        <w:spacing w:line="360" w:lineRule="auto"/>
        <w:rPr>
          <w:rFonts w:asciiTheme="majorBidi" w:hAnsiTheme="majorBidi" w:cstheme="majorBidi"/>
          <w:b/>
          <w:bCs/>
          <w:sz w:val="32"/>
          <w:szCs w:val="32"/>
        </w:rPr>
      </w:pPr>
      <w:r w:rsidRPr="001C1672">
        <w:rPr>
          <w:rFonts w:asciiTheme="majorBidi" w:hAnsiTheme="majorBidi" w:cstheme="majorBidi"/>
          <w:b/>
          <w:bCs/>
          <w:sz w:val="32"/>
          <w:szCs w:val="32"/>
        </w:rPr>
        <w:t>Introduction</w:t>
      </w:r>
    </w:p>
    <w:p w14:paraId="33351DA9" w14:textId="77777777" w:rsidR="00A26B7F" w:rsidRPr="001C1672" w:rsidRDefault="00A26B7F" w:rsidP="00A26B7F">
      <w:pPr>
        <w:bidi w:val="0"/>
        <w:spacing w:before="100" w:beforeAutospacing="1" w:after="100" w:afterAutospacing="1" w:line="240" w:lineRule="auto"/>
        <w:rPr>
          <w:rFonts w:asciiTheme="majorBidi" w:eastAsia="Times New Roman" w:hAnsiTheme="majorBidi" w:cstheme="majorBidi"/>
          <w:b/>
          <w:bCs/>
          <w:sz w:val="28"/>
          <w:szCs w:val="28"/>
        </w:rPr>
      </w:pPr>
      <w:r w:rsidRPr="001C1672">
        <w:rPr>
          <w:rFonts w:asciiTheme="majorBidi" w:eastAsia="Times New Roman" w:hAnsiTheme="majorBidi" w:cstheme="majorBidi"/>
          <w:b/>
          <w:bCs/>
          <w:sz w:val="28"/>
          <w:szCs w:val="28"/>
        </w:rPr>
        <w:t>Timing of the</w:t>
      </w:r>
      <w:r w:rsidRPr="001C1672">
        <w:rPr>
          <w:rFonts w:asciiTheme="majorBidi" w:eastAsia="Times New Roman" w:hAnsiTheme="majorBidi" w:cstheme="majorBidi"/>
          <w:b/>
          <w:bCs/>
          <w:sz w:val="24"/>
          <w:szCs w:val="24"/>
        </w:rPr>
        <w:t xml:space="preserve"> </w:t>
      </w:r>
      <w:r w:rsidRPr="001C1672">
        <w:rPr>
          <w:rFonts w:asciiTheme="majorBidi" w:eastAsia="Times New Roman" w:hAnsiTheme="majorBidi" w:cstheme="majorBidi"/>
          <w:b/>
          <w:bCs/>
          <w:sz w:val="28"/>
          <w:szCs w:val="28"/>
        </w:rPr>
        <w:t>trigger</w:t>
      </w:r>
    </w:p>
    <w:p w14:paraId="17BFA933" w14:textId="6506EF41" w:rsidR="00A26B7F" w:rsidRPr="001C1672" w:rsidRDefault="00A26B7F" w:rsidP="008167EC">
      <w:pPr>
        <w:bidi w:val="0"/>
        <w:spacing w:before="100" w:beforeAutospacing="1" w:after="100" w:afterAutospacing="1" w:line="360" w:lineRule="auto"/>
        <w:jc w:val="both"/>
        <w:rPr>
          <w:rFonts w:asciiTheme="majorBidi" w:eastAsia="Times New Roman" w:hAnsiTheme="majorBidi" w:cstheme="majorBidi"/>
          <w:sz w:val="28"/>
          <w:szCs w:val="28"/>
        </w:rPr>
      </w:pPr>
      <w:r w:rsidRPr="001C1672">
        <w:rPr>
          <w:rFonts w:asciiTheme="majorBidi" w:eastAsia="Times New Roman" w:hAnsiTheme="majorBidi" w:cstheme="majorBidi"/>
          <w:sz w:val="28"/>
          <w:szCs w:val="28"/>
        </w:rPr>
        <w:t>The temporal aspect of the trigger constitutes a pivotal factor in determining the efficacy of an assisted reproductive technology (ART) cycle. It is meticulously optimized to enhance the retrieval of mature and developmentally proficient oocytes from the existing follicular cohort</w:t>
      </w:r>
      <w:r w:rsidR="00493A66" w:rsidRPr="001C1672">
        <w:rPr>
          <w:rFonts w:asciiTheme="majorBidi" w:eastAsia="Times New Roman" w:hAnsiTheme="majorBidi" w:cstheme="majorBidi"/>
          <w:sz w:val="28"/>
          <w:szCs w:val="28"/>
        </w:rPr>
        <w:t xml:space="preserve"> </w:t>
      </w:r>
      <w:r w:rsidR="00F21CF3" w:rsidRPr="001C1672">
        <w:rPr>
          <w:rFonts w:asciiTheme="majorBidi" w:eastAsia="Times New Roman" w:hAnsiTheme="majorBidi" w:cstheme="majorBidi"/>
          <w:sz w:val="28"/>
          <w:szCs w:val="28"/>
          <w:vertAlign w:val="superscript"/>
        </w:rPr>
        <w:fldChar w:fldCharType="begin"/>
      </w:r>
      <w:r w:rsidR="00F21CF3" w:rsidRPr="001C1672">
        <w:rPr>
          <w:rFonts w:asciiTheme="majorBidi" w:eastAsia="Times New Roman" w:hAnsiTheme="majorBidi" w:cstheme="majorBidi"/>
          <w:sz w:val="28"/>
          <w:szCs w:val="28"/>
          <w:vertAlign w:val="superscript"/>
        </w:rPr>
        <w:instrText xml:space="preserve"> ADDIN ZOTERO_ITEM CSL_CITATION {"citationID":"55YPkjWQ","properties":{"formattedCitation":"(1)","plainCitation":"(1)","noteIndex":0},"citationItems":[{"id":899,"uris":["http://zotero.org/users/local/rldgneSt/items/5MRZM7UD"],"itemData":{"id":899,"type":"article-journal","abstract":"Ovulation trigger (OT) strategy is a cornerstone in modern patient-tailored in-vitro fertilization treatment, securing the optimal number of mature oocytes  retrieved without compromising fertilization, embryo development and euploidy  rates. Moreover, the OT strategy is taken into consideration before selecting  fresh or frozen embryo transfer (freeze-all) to obtain optimal reproductive  outcomes while maintaining a low risk of ovarian hyperstimulation syndrome.  Several OT agents have been proposed, however, the most common agents used in  modern IVF are human chorionic gonadotropin and gonadotropin-releasing hormone  agonist. As no OT agent can be generally recommended for universal use, this  review evaluates different OT strategies in different clinical scenarios,  discussing both the biological plausibility and the clinical evidence.","container-title":"Panminerva medica","DOI":"10.23736/S0031-0808.18.03537-1","ISSN":"1827-1898 0031-0808","issue":"1","journalAbbreviation":"Panminerva Med","language":"eng","note":"publisher-place: Italy\nPMID: 30674181","page":"42-51","title":"Advances in ovulation trigger strategies.","volume":"61","author":[{"family":"Dosouto","given":"Carlos"},{"family":"Haahr","given":"Thor"},{"family":"Humaidan","given":"Peter"}],"issued":{"date-parts":[["2019",3]]}}}],"schema":"https://github.com/citation-style-language/schema/raw/master/csl-citation.json"} </w:instrText>
      </w:r>
      <w:r w:rsidR="00F21CF3" w:rsidRPr="001C1672">
        <w:rPr>
          <w:rFonts w:asciiTheme="majorBidi" w:eastAsia="Times New Roman" w:hAnsiTheme="majorBidi" w:cstheme="majorBidi"/>
          <w:sz w:val="28"/>
          <w:szCs w:val="28"/>
          <w:vertAlign w:val="superscript"/>
        </w:rPr>
        <w:fldChar w:fldCharType="separate"/>
      </w:r>
      <w:r w:rsidR="00F21CF3" w:rsidRPr="001C1672">
        <w:rPr>
          <w:rFonts w:asciiTheme="majorBidi" w:hAnsiTheme="majorBidi" w:cstheme="majorBidi"/>
          <w:sz w:val="28"/>
          <w:vertAlign w:val="superscript"/>
        </w:rPr>
        <w:t>(1)</w:t>
      </w:r>
      <w:r w:rsidR="00F21CF3" w:rsidRPr="001C1672">
        <w:rPr>
          <w:rFonts w:asciiTheme="majorBidi" w:eastAsia="Times New Roman" w:hAnsiTheme="majorBidi" w:cstheme="majorBidi"/>
          <w:sz w:val="28"/>
          <w:szCs w:val="28"/>
          <w:vertAlign w:val="superscript"/>
        </w:rPr>
        <w:fldChar w:fldCharType="end"/>
      </w:r>
      <w:r w:rsidRPr="001C1672">
        <w:rPr>
          <w:rFonts w:asciiTheme="majorBidi" w:eastAsia="Times New Roman" w:hAnsiTheme="majorBidi" w:cstheme="majorBidi"/>
          <w:sz w:val="28"/>
          <w:szCs w:val="28"/>
        </w:rPr>
        <w:t xml:space="preserve">. </w:t>
      </w:r>
    </w:p>
    <w:p w14:paraId="09F47813" w14:textId="0DBBEB63" w:rsidR="00A26B7F" w:rsidRPr="001C1672" w:rsidRDefault="00A26B7F" w:rsidP="008167EC">
      <w:pPr>
        <w:bidi w:val="0"/>
        <w:spacing w:before="100" w:beforeAutospacing="1" w:after="100" w:afterAutospacing="1" w:line="360" w:lineRule="auto"/>
        <w:jc w:val="both"/>
        <w:rPr>
          <w:rFonts w:asciiTheme="majorBidi" w:eastAsia="Times New Roman" w:hAnsiTheme="majorBidi" w:cstheme="majorBidi"/>
          <w:sz w:val="28"/>
          <w:szCs w:val="28"/>
        </w:rPr>
      </w:pPr>
      <w:r w:rsidRPr="001C1672">
        <w:rPr>
          <w:rFonts w:asciiTheme="majorBidi" w:eastAsia="Times New Roman" w:hAnsiTheme="majorBidi" w:cstheme="majorBidi"/>
          <w:sz w:val="28"/>
          <w:szCs w:val="28"/>
        </w:rPr>
        <w:t>An efficacious trigger must guarantee adequate LH exposure to promote meiotic resumption, cytoplasmic maturation, and the attainment of oocyte competence while preserving alignment with endometrial receptivity</w:t>
      </w:r>
      <w:r w:rsidR="008167EC" w:rsidRPr="001C1672">
        <w:rPr>
          <w:rFonts w:asciiTheme="majorBidi" w:eastAsia="Times New Roman" w:hAnsiTheme="majorBidi" w:cstheme="majorBidi"/>
          <w:sz w:val="28"/>
          <w:szCs w:val="28"/>
        </w:rPr>
        <w:t xml:space="preserve"> </w:t>
      </w:r>
      <w:r w:rsidR="00FD0701" w:rsidRPr="001C1672">
        <w:rPr>
          <w:rFonts w:asciiTheme="majorBidi" w:eastAsia="Times New Roman" w:hAnsiTheme="majorBidi" w:cstheme="majorBidi"/>
          <w:sz w:val="28"/>
          <w:szCs w:val="28"/>
          <w:vertAlign w:val="superscript"/>
        </w:rPr>
        <w:t>(2-4)</w:t>
      </w:r>
      <w:r w:rsidR="00FE3980" w:rsidRPr="001C1672">
        <w:rPr>
          <w:rFonts w:asciiTheme="majorBidi" w:eastAsia="Times New Roman" w:hAnsiTheme="majorBidi" w:cstheme="majorBidi"/>
          <w:sz w:val="28"/>
          <w:szCs w:val="28"/>
        </w:rPr>
        <w:t>.</w:t>
      </w:r>
    </w:p>
    <w:p w14:paraId="1BDB96EF" w14:textId="7DE1903F" w:rsidR="00A26B7F" w:rsidRPr="001C1672" w:rsidRDefault="00A26B7F" w:rsidP="008167EC">
      <w:pPr>
        <w:bidi w:val="0"/>
        <w:spacing w:before="100" w:beforeAutospacing="1" w:after="100" w:afterAutospacing="1" w:line="360" w:lineRule="auto"/>
        <w:jc w:val="both"/>
        <w:rPr>
          <w:rFonts w:asciiTheme="majorBidi" w:eastAsia="Times New Roman" w:hAnsiTheme="majorBidi" w:cstheme="majorBidi"/>
          <w:sz w:val="28"/>
          <w:szCs w:val="28"/>
        </w:rPr>
      </w:pPr>
      <w:r w:rsidRPr="001C1672">
        <w:rPr>
          <w:rFonts w:asciiTheme="majorBidi" w:eastAsia="Times New Roman" w:hAnsiTheme="majorBidi" w:cstheme="majorBidi"/>
          <w:sz w:val="28"/>
          <w:szCs w:val="28"/>
        </w:rPr>
        <w:t xml:space="preserve">Optimal triggering is characterized by a substantial yield of mature oocytes accompanied by minimal or no complications </w:t>
      </w:r>
      <w:r w:rsidR="00273AD0" w:rsidRPr="001C1672">
        <w:rPr>
          <w:rFonts w:asciiTheme="majorBidi" w:eastAsia="Times New Roman" w:hAnsiTheme="majorBidi" w:cstheme="majorBidi"/>
          <w:sz w:val="28"/>
          <w:szCs w:val="28"/>
          <w:vertAlign w:val="superscript"/>
        </w:rPr>
        <w:fldChar w:fldCharType="begin"/>
      </w:r>
      <w:r w:rsidR="00273AD0" w:rsidRPr="001C1672">
        <w:rPr>
          <w:rFonts w:asciiTheme="majorBidi" w:eastAsia="Times New Roman" w:hAnsiTheme="majorBidi" w:cstheme="majorBidi"/>
          <w:sz w:val="28"/>
          <w:szCs w:val="28"/>
          <w:vertAlign w:val="superscript"/>
        </w:rPr>
        <w:instrText xml:space="preserve"> ADDIN ZOTERO_ITEM CSL_CITATION {"citationID":"7H9wIAo4","properties":{"formattedCitation":"(5)","plainCitation":"(5)","noteIndex":0},"citationItems":[{"id":904,"uris":["http://zotero.org/users/local/rldgneSt/items/EUGUYKJI"],"itemData":{"id":904,"type":"article-journal","abstract":"BACKGROUND: The discovery of kisspeptin as key central regulator of GnRH secretion has led to a new level of understanding of the neuroendocrine  regulation of human reproduction. The related discovery of the  kisspeptin-neurokinin B-dynorphin (KNDy) pathway in the last decade has further  strengthened our understanding of the modulation of GnRH secretion by endocrine,  metabolic and environmental inputs. In this review, we summarize current  understanding of the physiological roles of these novel neuropeptides, and  discuss the clinical relevance of these discoveries and their potential  translational applications. METHODS: A systematic literature search was performed  using PUBMED for all English language articles up to January 2014. In addition,  the reference lists of all relevant original research articles and reviews were  examined. This review focuses mainly on published human studies but also draws on  relevant animal data. RESULTS: Kisspeptin is a principal regulator of the  secretion of gonadotrophins, and through this key role it is critical for the  onset of puberty, the regulation of sex steroid-mediated feedback and the control  of adult fertility. Although there is some sexual dimorphism, both  neuroanatomically and functionally, these functions are apparent in both men and  women. Kisspeptin acts upstream of GnRH and, following paracrine stimulatory and  inhibitory inputs from neurokinin B and dynorphin (KNDy neuropeptides), signals  directly to GnRH neurones to control pulsatile GnRH release. When administered to  humans in different isoforms, routes and doses, kisspeptin robustly stimulates LH  secretion and LH pulse frequency. Manipulation of the KNDy system is currently  the focus of translational research with the possibility of future clinical  application to regulate LH pulsatility, increasing gonadal sex steroid secretion  in reproductive disorders characterized by decreased LH pulsatility, including  hypothalamic amenorrhoea and hypogonadotropic hypogonadism. Conversely there may  be scope to reduce the activity of the KNDy system to reduce LH secretion where  hypersecretion of LH adds to the phenotype, such as in polycystic ovary syndrome.  CONCLUSIONS: Kisspeptin is a recently discovered neuromodulator that controls  GnRH secretion mediating endocrine and metabolic inputs to the regulation of  human reproduction. Manipulation of kisspeptin signalling has the potential for  novel therapies in patients with pathologically low or high LH pulsatility.","container-title":"Human reproduction update","DOI":"10.1093/humupd/dmu009","ISSN":"1460-2369 1355-4786","issue":"4","journalAbbreviation":"Hum Reprod Update","language":"eng","license":"© The Author 2014. Published by Oxford University Press on behalf of the European Society of Human Reproduction and Embryology.","note":"publisher-place: England\nPMID: 24615662 \nPMCID: PMC4063702","page":"485-500","title":"The kisspeptin-GnRH pathway in human reproductive health and disease.","volume":"20","author":[{"family":"Skorupskaite","given":"Karolina"},{"family":"George","given":"Jyothis T."},{"family":"Anderson","given":"Richard A."}],"issued":{"date-parts":[["2014",8]]}}}],"schema":"https://github.com/citation-style-language/schema/raw/master/csl-citation.json"} </w:instrText>
      </w:r>
      <w:r w:rsidR="00273AD0" w:rsidRPr="001C1672">
        <w:rPr>
          <w:rFonts w:asciiTheme="majorBidi" w:eastAsia="Times New Roman" w:hAnsiTheme="majorBidi" w:cstheme="majorBidi"/>
          <w:sz w:val="28"/>
          <w:szCs w:val="28"/>
          <w:vertAlign w:val="superscript"/>
        </w:rPr>
        <w:fldChar w:fldCharType="separate"/>
      </w:r>
      <w:r w:rsidR="00273AD0" w:rsidRPr="001C1672">
        <w:rPr>
          <w:rFonts w:asciiTheme="majorBidi" w:hAnsiTheme="majorBidi" w:cstheme="majorBidi"/>
          <w:sz w:val="28"/>
          <w:vertAlign w:val="superscript"/>
        </w:rPr>
        <w:t>(5)</w:t>
      </w:r>
      <w:r w:rsidR="00273AD0" w:rsidRPr="001C1672">
        <w:rPr>
          <w:rFonts w:asciiTheme="majorBidi" w:eastAsia="Times New Roman" w:hAnsiTheme="majorBidi" w:cstheme="majorBidi"/>
          <w:sz w:val="28"/>
          <w:szCs w:val="28"/>
          <w:vertAlign w:val="superscript"/>
        </w:rPr>
        <w:fldChar w:fldCharType="end"/>
      </w:r>
      <w:r w:rsidRPr="001C1672">
        <w:rPr>
          <w:rFonts w:asciiTheme="majorBidi" w:eastAsia="Times New Roman" w:hAnsiTheme="majorBidi" w:cstheme="majorBidi"/>
          <w:sz w:val="28"/>
          <w:szCs w:val="28"/>
        </w:rPr>
        <w:t xml:space="preserve">. </w:t>
      </w:r>
    </w:p>
    <w:p w14:paraId="2ECAC3F9" w14:textId="0E899EB1" w:rsidR="00A26B7F" w:rsidRPr="001C1672" w:rsidRDefault="00A26B7F" w:rsidP="008167EC">
      <w:pPr>
        <w:bidi w:val="0"/>
        <w:spacing w:before="100" w:beforeAutospacing="1" w:after="100" w:afterAutospacing="1" w:line="360" w:lineRule="auto"/>
        <w:jc w:val="both"/>
        <w:rPr>
          <w:rFonts w:asciiTheme="majorBidi" w:eastAsia="Times New Roman" w:hAnsiTheme="majorBidi" w:cstheme="majorBidi"/>
          <w:sz w:val="28"/>
          <w:szCs w:val="28"/>
        </w:rPr>
      </w:pPr>
      <w:r w:rsidRPr="001C1672">
        <w:rPr>
          <w:rFonts w:asciiTheme="majorBidi" w:eastAsia="Times New Roman" w:hAnsiTheme="majorBidi" w:cstheme="majorBidi"/>
          <w:sz w:val="28"/>
          <w:szCs w:val="28"/>
        </w:rPr>
        <w:t xml:space="preserve">The timing of the trigger in intracytoplasmic sperm injection (ICSI) cycles is instrumental in affecting both oocyte competence and endometrial receptivity </w:t>
      </w:r>
      <w:r w:rsidR="00273AD0" w:rsidRPr="001C1672">
        <w:rPr>
          <w:rFonts w:asciiTheme="majorBidi" w:eastAsia="Times New Roman" w:hAnsiTheme="majorBidi" w:cstheme="majorBidi"/>
          <w:sz w:val="28"/>
          <w:szCs w:val="28"/>
          <w:vertAlign w:val="superscript"/>
        </w:rPr>
        <w:fldChar w:fldCharType="begin"/>
      </w:r>
      <w:r w:rsidR="00273AD0" w:rsidRPr="001C1672">
        <w:rPr>
          <w:rFonts w:asciiTheme="majorBidi" w:eastAsia="Times New Roman" w:hAnsiTheme="majorBidi" w:cstheme="majorBidi"/>
          <w:sz w:val="28"/>
          <w:szCs w:val="28"/>
          <w:vertAlign w:val="superscript"/>
        </w:rPr>
        <w:instrText xml:space="preserve"> ADDIN ZOTERO_ITEM CSL_CITATION {"citationID":"9OWVvyea","properties":{"formattedCitation":"(6)","plainCitation":"(6)","noteIndex":0},"citationItems":[{"id":905,"uris":["http://zotero.org/users/local/rldgneSt/items/NLRQSE8G"],"itemData":{"id":905,"type":"article-journal","abstract":"The aim of this study was to investigate 2 quantification criteria to evaluate the developmental condition of follicles cohort and clarify their impacts upon  the determining of human chorionic gonadotropin trigger timing and the  reproductive outcome: the proportion of mature follicles in growing follicles  cohort on the day of human chorionic gonadotropin trigger and the peak estradiol  level per oocyte on the day of human chorionic gonadotropin administration.Of the  patients who underwent in vitro fertilization/ intracytoplasmic sperm  injection-embryo transfer from 2011 to 2013, 492 controlled ovarian  hyperstimulation cycles using gonadotropin-releasing hormone antagonists reaching  the ovum pick-up and fresh embryo-transfer stage were included. Patients were  divided into 3 groups according to their ≥17 mm/≥10 mm follicles ratio on the day  of human chorionic gonadotropin administration (Low proportion: ≤30%, Middle  proportion: 30%-60%, High proportion: ≥60%). Patients were divided into 5 groups  according to their peak estradiol level/oocyte (Group A: &lt;100 pg/mL per oocyte,  Group B: 100-199 pg/mL per oocyte, Group C: 200-299 pg/mL per oocyte, Group D:  300-399 pg/mL per oocyte, Group E ≥400 pg/mL per oocyte) as well. Comparison  among groups was made regarding ovarian stimulation characteristics,  fertilization rate, good quality embryo rate, implantation, pregnancy, and live  birth rates.On the basis of ≥17 mm/≥10 mm follicles ratio, the number of oocyte  retrieved in low proportion group is more than other 2 groups. Implantation rate,  clinical pregnancy, and live birth rate in high proportion group were 25.8%,  42.7%, and 31.1%, respectively, which is highest in 3 groups, and statistical  significance existed between high and middle proportion groups. When the division  is based on peak estradiol level/oocyte, the number of oocyte retrieved of  ≥400 pg/mL per oocyte Group was significantly lowest compared with the other 4  groups. Matured ovum rate, fertilization rate, and good quality embryos rate  exhibited an increasing trend as the peak estradiol level/oocyte increased. While  pregnancy rate, implantation rate, and live birth rate were found to be lower  whenever estradiol/oocyte ratio exceeded 400 pg/mL per oocyte or less than  100 pg/mL per oocyte, and there is statistical difference.Patients with the  proportion of mature follicle reaching 60% on the day of human chorionic  gonadotropin trigger and peak estradiol/oocyte level within 100</w:instrText>
      </w:r>
      <w:r w:rsidR="00273AD0" w:rsidRPr="001C1672">
        <w:rPr>
          <w:rFonts w:ascii="Cambria Math" w:eastAsia="Times New Roman" w:hAnsi="Cambria Math" w:cs="Cambria Math"/>
          <w:sz w:val="28"/>
          <w:szCs w:val="28"/>
          <w:vertAlign w:val="superscript"/>
        </w:rPr>
        <w:instrText>∼</w:instrText>
      </w:r>
      <w:r w:rsidR="00273AD0" w:rsidRPr="001C1672">
        <w:rPr>
          <w:rFonts w:asciiTheme="majorBidi" w:eastAsia="Times New Roman" w:hAnsiTheme="majorBidi" w:cstheme="majorBidi"/>
          <w:sz w:val="28"/>
          <w:szCs w:val="28"/>
          <w:vertAlign w:val="superscript"/>
        </w:rPr>
        <w:instrText xml:space="preserve">399 pg/mL range  can get a better pregnancy and implantation rate.","container-title":"Medicine","DOI":"10.1097/MD.0000000000003691","ISSN":"1536-5964 0025-7974","issue":"20","journalAbbreviation":"Medicine (Baltimore)","language":"eng","note":"publisher-place: United States\nPMID: 27196479 \nPMCID: PMC4902421","page":"e3691","title":"New Perspectives on Criteria for the Determination of HCG Trigger Timing in GnRH Antagonist Cycles.","volume":"95","author":[{"family":"Hu","given":"Xiaokun"},{"family":"Luo","given":"Yingyi"},{"family":"Huang","given":"Kejun"},{"family":"Li","given":"Yubing"},{"family":"Xu","given":"Yanwen"},{"family":"Zhou","given":"Canquan"},{"family":"Mai","given":"Qingyun"}],"issued":{"date-parts":[["2016",5]]}}}],"schema":"https://github.com/citation-style-language/schema/raw/master/csl-citation.json"} </w:instrText>
      </w:r>
      <w:r w:rsidR="00273AD0" w:rsidRPr="001C1672">
        <w:rPr>
          <w:rFonts w:asciiTheme="majorBidi" w:eastAsia="Times New Roman" w:hAnsiTheme="majorBidi" w:cstheme="majorBidi"/>
          <w:sz w:val="28"/>
          <w:szCs w:val="28"/>
          <w:vertAlign w:val="superscript"/>
        </w:rPr>
        <w:fldChar w:fldCharType="separate"/>
      </w:r>
      <w:r w:rsidR="00273AD0" w:rsidRPr="001C1672">
        <w:rPr>
          <w:rFonts w:asciiTheme="majorBidi" w:hAnsiTheme="majorBidi" w:cstheme="majorBidi"/>
          <w:sz w:val="28"/>
          <w:vertAlign w:val="superscript"/>
        </w:rPr>
        <w:t>(6)</w:t>
      </w:r>
      <w:r w:rsidR="00273AD0" w:rsidRPr="001C1672">
        <w:rPr>
          <w:rFonts w:asciiTheme="majorBidi" w:eastAsia="Times New Roman" w:hAnsiTheme="majorBidi" w:cstheme="majorBidi"/>
          <w:sz w:val="28"/>
          <w:szCs w:val="28"/>
          <w:vertAlign w:val="superscript"/>
        </w:rPr>
        <w:fldChar w:fldCharType="end"/>
      </w:r>
      <w:r w:rsidRPr="001C1672">
        <w:rPr>
          <w:rFonts w:asciiTheme="majorBidi" w:eastAsia="Times New Roman" w:hAnsiTheme="majorBidi" w:cstheme="majorBidi"/>
          <w:sz w:val="28"/>
          <w:szCs w:val="28"/>
        </w:rPr>
        <w:t>. Numerous factors have been explored to ascertain the optimal timing for trigger administration in ICSI cycles, which include: 1- follicular diameter 2- serum estradiol (E2) and progesterone concentrations, peak E2 levels per follicle 3- and the individual's previous response to controlled ovarian stimulation (COS).</w:t>
      </w:r>
    </w:p>
    <w:p w14:paraId="33CCF502" w14:textId="77777777" w:rsidR="00A26B7F" w:rsidRPr="001C1672" w:rsidRDefault="00A26B7F" w:rsidP="0085166C">
      <w:pPr>
        <w:spacing w:before="100" w:beforeAutospacing="1" w:after="100" w:afterAutospacing="1" w:line="360" w:lineRule="auto"/>
        <w:ind w:left="720"/>
        <w:jc w:val="right"/>
        <w:rPr>
          <w:rFonts w:asciiTheme="majorBidi" w:eastAsia="Times New Roman" w:hAnsiTheme="majorBidi" w:cstheme="majorBidi"/>
          <w:b/>
          <w:bCs/>
          <w:sz w:val="28"/>
          <w:szCs w:val="28"/>
        </w:rPr>
      </w:pPr>
      <w:r w:rsidRPr="001C1672">
        <w:rPr>
          <w:rFonts w:asciiTheme="majorBidi" w:eastAsia="Times New Roman" w:hAnsiTheme="majorBidi" w:cstheme="majorBidi"/>
          <w:b/>
          <w:bCs/>
          <w:sz w:val="28"/>
          <w:szCs w:val="28"/>
        </w:rPr>
        <w:t xml:space="preserve">Timing of the trigger and Follicular Diameter: </w:t>
      </w:r>
    </w:p>
    <w:p w14:paraId="58E0277D" w14:textId="7E7FF3E1" w:rsidR="00A26B7F" w:rsidRPr="001C1672" w:rsidRDefault="00A26B7F" w:rsidP="0085166C">
      <w:pPr>
        <w:bidi w:val="0"/>
        <w:spacing w:before="100" w:beforeAutospacing="1" w:after="100" w:afterAutospacing="1" w:line="360" w:lineRule="auto"/>
        <w:jc w:val="both"/>
        <w:rPr>
          <w:rFonts w:asciiTheme="majorBidi" w:eastAsia="Times New Roman" w:hAnsiTheme="majorBidi" w:cstheme="majorBidi"/>
          <w:sz w:val="28"/>
          <w:szCs w:val="28"/>
        </w:rPr>
      </w:pPr>
      <w:r w:rsidRPr="001C1672">
        <w:rPr>
          <w:rFonts w:asciiTheme="majorBidi" w:eastAsia="Times New Roman" w:hAnsiTheme="majorBidi" w:cstheme="majorBidi"/>
          <w:sz w:val="28"/>
          <w:szCs w:val="28"/>
        </w:rPr>
        <w:t xml:space="preserve">The timing of the trigger has been, for over three decades, contingent upon the presence of at least three follicles with a diameter of 17 mm or greater </w:t>
      </w:r>
      <w:r w:rsidR="00CF2929" w:rsidRPr="001C1672">
        <w:rPr>
          <w:rFonts w:asciiTheme="majorBidi" w:eastAsia="Times New Roman" w:hAnsiTheme="majorBidi" w:cstheme="majorBidi"/>
          <w:sz w:val="28"/>
          <w:szCs w:val="28"/>
          <w:vertAlign w:val="superscript"/>
        </w:rPr>
        <w:fldChar w:fldCharType="begin"/>
      </w:r>
      <w:r w:rsidR="00CF2929" w:rsidRPr="001C1672">
        <w:rPr>
          <w:rFonts w:asciiTheme="majorBidi" w:eastAsia="Times New Roman" w:hAnsiTheme="majorBidi" w:cstheme="majorBidi"/>
          <w:sz w:val="28"/>
          <w:szCs w:val="28"/>
          <w:vertAlign w:val="superscript"/>
        </w:rPr>
        <w:instrText xml:space="preserve"> ADDIN ZOTERO_ITEM CSL_CITATION {"citationID":"GgesbiiM","properties":{"formattedCitation":"(7)","plainCitation":"(7)","noteIndex":0},"citationItems":[{"id":906,"uris":["http://zotero.org/users/local/rldgneSt/items/MFEJL52T"],"itemData":{"id":906,"type":"article-journal","abstract":"The maturity of human oocytes was correlated with corresponding follicular fluid volumes in 547 cycles stimulated with human menopausal gonadotropin, with or  without the supplementation of follicle-stimulating hormone. Mature oocytes were  found to be associated with larger follicles (average volume, 2.7 ml). Immature  or degenerating oocytes were found to be associated with smaller follicles  (average volume, 1.0 and 0.8 ml, respectively). Follicles without oocytes were  generally quite small (average volume, 1.0 ml). We studied follicular fluid  volumes associated with mature oocytes that were responsible for the  establishment of pregnancy after single conceptus transfer. Analysis of these  data demonstrated that the rate of spontaneous abortion was very high with  conceptuses derived from smaller follicles, suggesting that oocytes from larger  follicles may be of better quality.","container-title":"Fertility and sterility","DOI":"10.1016/s0015-0282(16)48731-5","ISSN":"0015-0282","issue":"2","journalAbbreviation":"Fertil Steril","language":"eng","note":"publisher-place: United States\nPMID: 3926543","page":"177-180","title":"Correlation of follicular fluid volume with oocyte morphology from follicles stimulated by human menopausal gonadotropin.","volume":"44","author":[{"family":"Simonetti","given":"S."},{"family":"Veeck","given":"L. L."},{"family":"Jones","given":"H. W. Jr"}],"issued":{"date-parts":[["1985",8]]}}}],"schema":"https://github.com/citation-style-language/schema/raw/master/csl-citation.json"} </w:instrText>
      </w:r>
      <w:r w:rsidR="00CF2929" w:rsidRPr="001C1672">
        <w:rPr>
          <w:rFonts w:asciiTheme="majorBidi" w:eastAsia="Times New Roman" w:hAnsiTheme="majorBidi" w:cstheme="majorBidi"/>
          <w:sz w:val="28"/>
          <w:szCs w:val="28"/>
          <w:vertAlign w:val="superscript"/>
        </w:rPr>
        <w:fldChar w:fldCharType="separate"/>
      </w:r>
      <w:r w:rsidR="00CF2929" w:rsidRPr="001C1672">
        <w:rPr>
          <w:rFonts w:asciiTheme="majorBidi" w:hAnsiTheme="majorBidi" w:cstheme="majorBidi"/>
          <w:sz w:val="28"/>
          <w:vertAlign w:val="superscript"/>
        </w:rPr>
        <w:t>(7</w:t>
      </w:r>
      <w:r w:rsidR="008167EC" w:rsidRPr="001C1672">
        <w:rPr>
          <w:rFonts w:asciiTheme="majorBidi" w:hAnsiTheme="majorBidi" w:cstheme="majorBidi"/>
          <w:sz w:val="28"/>
          <w:vertAlign w:val="superscript"/>
        </w:rPr>
        <w:t>-10</w:t>
      </w:r>
      <w:r w:rsidR="00CF2929" w:rsidRPr="001C1672">
        <w:rPr>
          <w:rFonts w:asciiTheme="majorBidi" w:hAnsiTheme="majorBidi" w:cstheme="majorBidi"/>
          <w:sz w:val="28"/>
          <w:vertAlign w:val="superscript"/>
        </w:rPr>
        <w:t>)</w:t>
      </w:r>
      <w:r w:rsidR="00CF2929" w:rsidRPr="001C1672">
        <w:rPr>
          <w:rFonts w:asciiTheme="majorBidi" w:eastAsia="Times New Roman" w:hAnsiTheme="majorBidi" w:cstheme="majorBidi"/>
          <w:sz w:val="28"/>
          <w:szCs w:val="28"/>
          <w:vertAlign w:val="superscript"/>
        </w:rPr>
        <w:fldChar w:fldCharType="end"/>
      </w:r>
      <w:r w:rsidR="00CF2929" w:rsidRPr="001C1672">
        <w:rPr>
          <w:rFonts w:asciiTheme="majorBidi" w:eastAsia="Times New Roman" w:hAnsiTheme="majorBidi" w:cstheme="majorBidi"/>
          <w:sz w:val="28"/>
          <w:szCs w:val="28"/>
        </w:rPr>
        <w:t xml:space="preserve">. </w:t>
      </w:r>
      <w:r w:rsidRPr="001C1672">
        <w:rPr>
          <w:rFonts w:asciiTheme="majorBidi" w:eastAsia="Times New Roman" w:hAnsiTheme="majorBidi" w:cstheme="majorBidi"/>
          <w:sz w:val="28"/>
          <w:szCs w:val="28"/>
        </w:rPr>
        <w:t xml:space="preserve">Nonetheless, a universal consensus regarding the minimum follicular size requisite for procuring a competent oocyte remains elusive. The threshold for obtaining a mature M2 oocyte is posited to be 16 mm from one perspective </w:t>
      </w:r>
      <w:r w:rsidR="00CF2929" w:rsidRPr="001C1672">
        <w:rPr>
          <w:rFonts w:asciiTheme="majorBidi" w:eastAsia="Times New Roman" w:hAnsiTheme="majorBidi" w:cstheme="majorBidi"/>
          <w:sz w:val="28"/>
          <w:szCs w:val="28"/>
          <w:vertAlign w:val="superscript"/>
        </w:rPr>
        <w:fldChar w:fldCharType="begin"/>
      </w:r>
      <w:r w:rsidR="00CF2929" w:rsidRPr="001C1672">
        <w:rPr>
          <w:rFonts w:asciiTheme="majorBidi" w:eastAsia="Times New Roman" w:hAnsiTheme="majorBidi" w:cstheme="majorBidi"/>
          <w:sz w:val="28"/>
          <w:szCs w:val="28"/>
          <w:vertAlign w:val="superscript"/>
        </w:rPr>
        <w:instrText xml:space="preserve"> ADDIN ZOTERO_ITEM CSL_CITATION {"citationID":"gAebCyTi","properties":{"formattedCitation":"(10)","plainCitation":"(10)","noteIndex":0},"citationItems":[{"id":910,"uris":["http://zotero.org/users/local/rldgneSt/items/3T55U2FD"],"itemData":{"id":910,"type":"article-journal","abstract":"The aim of this work was to evaluate the relationship between follicular size at the time of oocyte retrieval, and the subsequent oocyte competence to be  fertilized and to develop in vitro. All the obtained oocytes were classified  according to the corresponding volume of aspirated follicular fluid. Aspirated  volume of follicular fluid &lt;2 ml corresponded to a follicular diameter &lt;16 mm and  constituted the small size group. Volume of follicular fluid from 2 to 6 ml  corresponded to a diameter from 16 to 23 mm and constituted the medium size  group. The large size group contained follicles with diameter &gt;23 mm and  corresponded to an aspirated volume of follicular fluid of &gt;6 ml. A progressive  and significant increase in the rates of oocytes with a first polar body was  observed from the small size group to the other groups and from the medium to the  large size group: 75.3, 85.9 and 95.3% respectively. After classical in-vitro  fertilization (IVF), significantly better rates of fertilization and development  were obtained in the medium size group compared to the two other groups.  Moreover, a positive relationship was observed between follicular diameter and  rates of embryos scored as 'good' when oocytes were fertilized by  intracytoplasmic sperm injection (ICSI). These results demonstrated that  follicular size is positively related to the oocyte ability to be fertilized and  to develop. Although oocytes from small follicles gave lower percentages of  development probably due to partial oocyte incompetence, they allowed an increase  in the total number of embryos scored as 'good'.","container-title":"Human reproduction (Oxford, England)","DOI":"10.1093/humrep/12.9.2002","ISSN":"0268-1161","issue":"9","journalAbbreviation":"Hum Reprod","language":"eng","note":"publisher-place: England\nPMID: 9363720","page":"2002-2005","title":"Relationship of human follicular diameter with oocyte fertilization and development after in-vitro fertilization or intracytoplasmic sperm injection.","volume":"12","author":[{"family":"Ectors","given":"F. J."},{"family":"Vanderzwalmen","given":"P."},{"family":"Van Hoeck","given":"J."},{"family":"Nijs","given":"M."},{"family":"Verhaegen","given":"G."},{"family":"Delvigne","given":"A."},{"family":"Schoysman","given":"R."},{"family":"Leroy","given":"F."}],"issued":{"date-parts":[["1997",9]]}}}],"schema":"https://github.com/citation-style-language/schema/raw/master/csl-citation.json"} </w:instrText>
      </w:r>
      <w:r w:rsidR="00CF2929" w:rsidRPr="001C1672">
        <w:rPr>
          <w:rFonts w:asciiTheme="majorBidi" w:eastAsia="Times New Roman" w:hAnsiTheme="majorBidi" w:cstheme="majorBidi"/>
          <w:sz w:val="28"/>
          <w:szCs w:val="28"/>
          <w:vertAlign w:val="superscript"/>
        </w:rPr>
        <w:fldChar w:fldCharType="separate"/>
      </w:r>
      <w:r w:rsidR="00CF2929" w:rsidRPr="001C1672">
        <w:rPr>
          <w:rFonts w:asciiTheme="majorBidi" w:hAnsiTheme="majorBidi" w:cstheme="majorBidi"/>
          <w:sz w:val="28"/>
          <w:vertAlign w:val="superscript"/>
        </w:rPr>
        <w:t>(10)</w:t>
      </w:r>
      <w:r w:rsidR="00CF2929" w:rsidRPr="001C1672">
        <w:rPr>
          <w:rFonts w:asciiTheme="majorBidi" w:eastAsia="Times New Roman" w:hAnsiTheme="majorBidi" w:cstheme="majorBidi"/>
          <w:sz w:val="28"/>
          <w:szCs w:val="28"/>
          <w:vertAlign w:val="superscript"/>
        </w:rPr>
        <w:fldChar w:fldCharType="end"/>
      </w:r>
      <w:r w:rsidRPr="001C1672">
        <w:rPr>
          <w:rFonts w:asciiTheme="majorBidi" w:eastAsia="Times New Roman" w:hAnsiTheme="majorBidi" w:cstheme="majorBidi"/>
          <w:sz w:val="28"/>
          <w:szCs w:val="28"/>
        </w:rPr>
        <w:t xml:space="preserve">, while follicles </w:t>
      </w:r>
      <w:r w:rsidRPr="001C1672">
        <w:rPr>
          <w:rFonts w:asciiTheme="majorBidi" w:eastAsia="Times New Roman" w:hAnsiTheme="majorBidi" w:cstheme="majorBidi"/>
          <w:sz w:val="28"/>
          <w:szCs w:val="28"/>
        </w:rPr>
        <w:lastRenderedPageBreak/>
        <w:t>smaller than 12 mm yield oocytes at various stages of immaturity</w:t>
      </w:r>
      <w:r w:rsidR="008167EC" w:rsidRPr="001C1672">
        <w:rPr>
          <w:rFonts w:asciiTheme="majorBidi" w:eastAsia="Times New Roman" w:hAnsiTheme="majorBidi" w:cstheme="majorBidi"/>
          <w:sz w:val="28"/>
          <w:szCs w:val="28"/>
        </w:rPr>
        <w:t xml:space="preserve"> </w:t>
      </w:r>
      <w:r w:rsidR="008167EC" w:rsidRPr="001C1672">
        <w:rPr>
          <w:rFonts w:asciiTheme="majorBidi" w:eastAsia="Times New Roman" w:hAnsiTheme="majorBidi" w:cstheme="majorBidi"/>
          <w:sz w:val="28"/>
          <w:szCs w:val="28"/>
          <w:vertAlign w:val="superscript"/>
        </w:rPr>
        <w:t>(8,11,12)</w:t>
      </w:r>
      <w:r w:rsidRPr="001C1672">
        <w:rPr>
          <w:rFonts w:asciiTheme="majorBidi" w:eastAsia="Times New Roman" w:hAnsiTheme="majorBidi" w:cstheme="majorBidi"/>
          <w:sz w:val="28"/>
          <w:szCs w:val="28"/>
        </w:rPr>
        <w:t>. Follicles exceeding 22 mm frequently harbor "post-mature" oocytes</w:t>
      </w:r>
      <w:r w:rsidR="008167EC" w:rsidRPr="001C1672">
        <w:rPr>
          <w:rFonts w:asciiTheme="majorBidi" w:eastAsia="Times New Roman" w:hAnsiTheme="majorBidi" w:cstheme="majorBidi"/>
          <w:sz w:val="28"/>
          <w:szCs w:val="28"/>
          <w:vertAlign w:val="superscript"/>
        </w:rPr>
        <w:t xml:space="preserve"> </w:t>
      </w:r>
      <w:r w:rsidRPr="001C1672">
        <w:rPr>
          <w:rFonts w:asciiTheme="majorBidi" w:eastAsia="Times New Roman" w:hAnsiTheme="majorBidi" w:cstheme="majorBidi"/>
          <w:sz w:val="28"/>
          <w:szCs w:val="28"/>
        </w:rPr>
        <w:t xml:space="preserve">that exhibit diminished fertilization rates and compromised developmental competence </w:t>
      </w:r>
      <w:r w:rsidR="00C30408" w:rsidRPr="001C1672">
        <w:rPr>
          <w:rFonts w:asciiTheme="majorBidi" w:eastAsia="Times New Roman" w:hAnsiTheme="majorBidi" w:cstheme="majorBidi"/>
          <w:sz w:val="28"/>
          <w:szCs w:val="28"/>
          <w:vertAlign w:val="superscript"/>
        </w:rPr>
        <w:fldChar w:fldCharType="begin"/>
      </w:r>
      <w:r w:rsidR="00C30408" w:rsidRPr="001C1672">
        <w:rPr>
          <w:rFonts w:asciiTheme="majorBidi" w:eastAsia="Times New Roman" w:hAnsiTheme="majorBidi" w:cstheme="majorBidi"/>
          <w:sz w:val="28"/>
          <w:szCs w:val="28"/>
          <w:vertAlign w:val="superscript"/>
        </w:rPr>
        <w:instrText xml:space="preserve"> ADDIN ZOTERO_ITEM CSL_CITATION {"citationID":"a4fz8QyA","properties":{"formattedCitation":"(13)","plainCitation":"(13)","noteIndex":0},"citationItems":[{"id":914,"uris":["http://zotero.org/users/local/rldgneSt/items/JGEEE3YM"],"itemData":{"id":914,"type":"article-journal","abstract":"Ovarian stimulation with a GnRH-a and hMG for IVF treatment offers the potential to extend the period of follicle recruitment and growth free of the restriction  imposed by a spontaneous midcycle LH surge. A randomized trial investigating the  impact of extending follicle growth by 1 day resulted in a significantly reduced  PR, despite an increase in the number of larger follicles (greater than or equal  to 17 mm) at the time of hCG. The reason for a reduced PR was not related to the  number of ova recovered or embryo quality. This suggests that follicular aging or  the duration of estrogen rise may be important.","container-title":"Fertility and sterility","DOI":"10.1016/s0015-0282(16)54374-x","ISSN":"0015-0282","issue":"6","journalAbbreviation":"Fertil Steril","language":"eng","note":"publisher-place: United States\nPMID: 2037113","page":"1192-1194","title":"Prolonged follicle stimulation decreases pregnancy rates after in vitro fertilization.","volume":"55","author":[{"family":"Clark","given":"L."},{"family":"Stanger","given":"J."},{"family":"Brinsmead","given":"M."}],"issued":{"date-parts":[["1991",6]]}}}],"schema":"https://github.com/citation-style-language/schema/raw/master/csl-citation.json"} </w:instrText>
      </w:r>
      <w:r w:rsidR="00C30408" w:rsidRPr="001C1672">
        <w:rPr>
          <w:rFonts w:asciiTheme="majorBidi" w:eastAsia="Times New Roman" w:hAnsiTheme="majorBidi" w:cstheme="majorBidi"/>
          <w:sz w:val="28"/>
          <w:szCs w:val="28"/>
          <w:vertAlign w:val="superscript"/>
        </w:rPr>
        <w:fldChar w:fldCharType="separate"/>
      </w:r>
      <w:r w:rsidR="00C30408" w:rsidRPr="001C1672">
        <w:rPr>
          <w:rFonts w:asciiTheme="majorBidi" w:hAnsiTheme="majorBidi" w:cstheme="majorBidi"/>
          <w:sz w:val="28"/>
          <w:vertAlign w:val="superscript"/>
        </w:rPr>
        <w:t>(1</w:t>
      </w:r>
      <w:r w:rsidR="008167EC" w:rsidRPr="001C1672">
        <w:rPr>
          <w:rFonts w:asciiTheme="majorBidi" w:hAnsiTheme="majorBidi" w:cstheme="majorBidi"/>
          <w:sz w:val="28"/>
          <w:vertAlign w:val="superscript"/>
        </w:rPr>
        <w:t>0,13</w:t>
      </w:r>
      <w:r w:rsidR="00C30408" w:rsidRPr="001C1672">
        <w:rPr>
          <w:rFonts w:asciiTheme="majorBidi" w:hAnsiTheme="majorBidi" w:cstheme="majorBidi"/>
          <w:sz w:val="28"/>
          <w:vertAlign w:val="superscript"/>
        </w:rPr>
        <w:t>)</w:t>
      </w:r>
      <w:r w:rsidR="00C30408" w:rsidRPr="001C1672">
        <w:rPr>
          <w:rFonts w:asciiTheme="majorBidi" w:eastAsia="Times New Roman" w:hAnsiTheme="majorBidi" w:cstheme="majorBidi"/>
          <w:sz w:val="28"/>
          <w:szCs w:val="28"/>
          <w:vertAlign w:val="superscript"/>
        </w:rPr>
        <w:fldChar w:fldCharType="end"/>
      </w:r>
      <w:r w:rsidRPr="001C1672">
        <w:rPr>
          <w:rFonts w:asciiTheme="majorBidi" w:eastAsia="Times New Roman" w:hAnsiTheme="majorBidi" w:cstheme="majorBidi"/>
          <w:sz w:val="28"/>
          <w:szCs w:val="28"/>
        </w:rPr>
        <w:t>.</w:t>
      </w:r>
    </w:p>
    <w:p w14:paraId="2A57D77B" w14:textId="2531D498" w:rsidR="00A26B7F" w:rsidRPr="001C1672" w:rsidRDefault="00A26B7F" w:rsidP="0085166C">
      <w:pPr>
        <w:bidi w:val="0"/>
        <w:spacing w:before="100" w:beforeAutospacing="1" w:after="100" w:afterAutospacing="1" w:line="360" w:lineRule="auto"/>
        <w:jc w:val="both"/>
        <w:rPr>
          <w:rFonts w:asciiTheme="majorBidi" w:eastAsia="Times New Roman" w:hAnsiTheme="majorBidi" w:cstheme="majorBidi"/>
          <w:sz w:val="28"/>
          <w:szCs w:val="28"/>
        </w:rPr>
      </w:pPr>
      <w:r w:rsidRPr="001C1672">
        <w:rPr>
          <w:rFonts w:asciiTheme="majorBidi" w:eastAsia="Times New Roman" w:hAnsiTheme="majorBidi" w:cstheme="majorBidi"/>
          <w:sz w:val="28"/>
          <w:szCs w:val="28"/>
        </w:rPr>
        <w:t xml:space="preserve">Empirical studies have indicated that follicles measuring between 16–23 mm at the time of oocyte retrieval demonstrate superior fertilization rates compared to those surpassing 23 mm </w:t>
      </w:r>
      <w:r w:rsidR="008167EC" w:rsidRPr="001C1672">
        <w:rPr>
          <w:rFonts w:asciiTheme="majorBidi" w:eastAsia="Times New Roman" w:hAnsiTheme="majorBidi" w:cstheme="majorBidi"/>
          <w:sz w:val="24"/>
          <w:szCs w:val="24"/>
          <w:vertAlign w:val="superscript"/>
        </w:rPr>
        <w:t>(9,10)</w:t>
      </w:r>
      <w:r w:rsidRPr="001C1672">
        <w:rPr>
          <w:rFonts w:asciiTheme="majorBidi" w:eastAsia="Times New Roman" w:hAnsiTheme="majorBidi" w:cstheme="majorBidi"/>
          <w:sz w:val="28"/>
          <w:szCs w:val="28"/>
        </w:rPr>
        <w:t>. However, the proportion of oocytes with high-quality scores escalates from 55.4% in the 16–23 mm follicle cohort to 64.6% in follicles exceeding 23 mm. Consequently, the recommendations from the European Society of Human Reproduction and Embryology (ESHRE) 2020 regarding the timing of the trigger are articulated as follows: "Most frequently, final oocyte maturation is triggered at sizes of several of the leading follicles between 16–22 mm as data on specific follicle sizes that are most likely to yield a mature oocyte have predominantly been generated on the day of oocyte retrieval, at which point follicles of 16 to 22 mm are perceived to be most likely to yield oocytes."</w:t>
      </w:r>
      <w:r w:rsidRPr="001C1672">
        <w:rPr>
          <w:rFonts w:asciiTheme="majorBidi" w:eastAsia="Times New Roman" w:hAnsiTheme="majorBidi" w:cstheme="majorBidi"/>
          <w:sz w:val="28"/>
          <w:szCs w:val="28"/>
          <w:vertAlign w:val="superscript"/>
        </w:rPr>
        <w:t xml:space="preserve"> </w:t>
      </w:r>
      <w:r w:rsidR="00C30408" w:rsidRPr="001C1672">
        <w:rPr>
          <w:rFonts w:asciiTheme="majorBidi" w:eastAsia="Times New Roman" w:hAnsiTheme="majorBidi" w:cstheme="majorBidi"/>
          <w:sz w:val="24"/>
          <w:szCs w:val="24"/>
          <w:vertAlign w:val="superscript"/>
        </w:rPr>
        <w:fldChar w:fldCharType="begin"/>
      </w:r>
      <w:r w:rsidR="00C30408" w:rsidRPr="001C1672">
        <w:rPr>
          <w:rFonts w:asciiTheme="majorBidi" w:eastAsia="Times New Roman" w:hAnsiTheme="majorBidi" w:cstheme="majorBidi"/>
          <w:sz w:val="24"/>
          <w:szCs w:val="24"/>
          <w:vertAlign w:val="superscript"/>
        </w:rPr>
        <w:instrText xml:space="preserve"> ADDIN ZOTERO_ITEM CSL_CITATION {"citationID":"QHVqhbYY","properties":{"formattedCitation":"(14)","plainCitation":"(14)","noteIndex":0},"citationItems":[{"id":915,"uris":["http://zotero.org/users/local/rldgneSt/items/TWC8I3L9"],"itemData":{"id":915,"type":"article-journal","abstract":"The timing of ovulation induction is usually decided according to estradiol plasma concentrations and follicle size. We administered human chorionic  gonadotropin (hCG) when at least three follicles of 16 mm or more in diameter and  adequate estradiol plasma concentrations were detected. We studied the percentage  of mature oocyte-cumulus-corona radiata complexes, estradiol and progesterone  concentrations in a heterogeneous sized follicle population (range 10-20 mm, n =  90) to perform a retrospective analysis of the adequacy of criteria adopted for  the timing of ovulation induction. Plasma and follicular fluid were obtained from  20 normo-ovulating women (aged 28-37 years) treated with gonadotropin releasing  hormone analogs (GnRH-a) and human menopausal gonadotropin (hMG) for in vitro  fertilization (IVF). No correlation was found between the mean individual  follicular fluid estradiol concentration (500-5640 nmol/l) and the respective  maximum concentration in plasma (2-16 nmol/l). The estradiol concentration was  similar in all follicles. Total follicular fluid estradiol concentration was  found to be correlated with follicular fluid volume (r = 0.771, p &lt; 0.01). On the  day of hCG administration, the concentration of estradiol in the plasma but not  the follicular fluid was correlated with the number of oocyte-cumulus-corona  radiata complexes collected (p &lt; 0.01) and the number of mature complexes (p &lt;  0.01). At oocyte pick-up, the plasma concentration of progesterone was correlated  (p &lt; 0.01) with number of complexes collected and the number of mature complexes.  The percentage of mature complexes collected (77.5%) was higher than suggested by  the number of leading follicles. This indicates that our criteria for  administering hCG were adequate and that heterogeneous follicle size does not  exclude a high rate of mature oocyte-cumulus-corona radiata complexes.","container-title":"Gynecological endocrinology : the official journal of the International Society of Gynecological Endocrinology","DOI":"10.3109/09513599509160447","ISSN":"0951-3590","issue":"3","journalAbbreviation":"Gynecol Endocrinol","language":"eng","note":"publisher-place: England\nPMID: 8540289","page":"201-208","title":"Timing of hCG administration in cycles stimulated for in vitro fertilization: specific impact of heterogeneous follicle sizes and steroid concentrations in  plasma and follicle fluid on decision procedures.","volume":"9","author":[{"family":"Inaudi","given":"P."},{"family":"Germond","given":"M."},{"family":"Senn","given":"A."},{"family":"De Grandi","given":"P."}],"issued":{"date-parts":[["1995",9]]}}}],"schema":"https://github.com/citation-style-language/schema/raw/master/csl-citation.json"} </w:instrText>
      </w:r>
      <w:r w:rsidR="00C30408" w:rsidRPr="001C1672">
        <w:rPr>
          <w:rFonts w:asciiTheme="majorBidi" w:eastAsia="Times New Roman" w:hAnsiTheme="majorBidi" w:cstheme="majorBidi"/>
          <w:sz w:val="24"/>
          <w:szCs w:val="24"/>
          <w:vertAlign w:val="superscript"/>
        </w:rPr>
        <w:fldChar w:fldCharType="separate"/>
      </w:r>
      <w:r w:rsidR="00C30408" w:rsidRPr="001C1672">
        <w:rPr>
          <w:rFonts w:asciiTheme="majorBidi" w:hAnsiTheme="majorBidi" w:cstheme="majorBidi"/>
          <w:sz w:val="24"/>
          <w:vertAlign w:val="superscript"/>
        </w:rPr>
        <w:t>(14)</w:t>
      </w:r>
      <w:r w:rsidR="00C30408" w:rsidRPr="001C1672">
        <w:rPr>
          <w:rFonts w:asciiTheme="majorBidi" w:eastAsia="Times New Roman" w:hAnsiTheme="majorBidi" w:cstheme="majorBidi"/>
          <w:sz w:val="24"/>
          <w:szCs w:val="24"/>
          <w:vertAlign w:val="superscript"/>
        </w:rPr>
        <w:fldChar w:fldCharType="end"/>
      </w:r>
    </w:p>
    <w:p w14:paraId="108912ED" w14:textId="77777777" w:rsidR="00FA0E34" w:rsidRPr="001C1672" w:rsidRDefault="00FA0E34">
      <w:pPr>
        <w:bidi w:val="0"/>
        <w:spacing w:line="278" w:lineRule="auto"/>
        <w:rPr>
          <w:rFonts w:asciiTheme="majorBidi" w:eastAsia="Times New Roman" w:hAnsiTheme="majorBidi" w:cstheme="majorBidi"/>
          <w:b/>
          <w:bCs/>
          <w:sz w:val="28"/>
          <w:szCs w:val="28"/>
        </w:rPr>
      </w:pPr>
      <w:r w:rsidRPr="001C1672">
        <w:rPr>
          <w:rFonts w:asciiTheme="majorBidi" w:eastAsia="Times New Roman" w:hAnsiTheme="majorBidi" w:cstheme="majorBidi"/>
          <w:b/>
          <w:bCs/>
          <w:sz w:val="28"/>
          <w:szCs w:val="28"/>
        </w:rPr>
        <w:br w:type="page"/>
      </w:r>
    </w:p>
    <w:p w14:paraId="06F240D6" w14:textId="47E3FDB6" w:rsidR="00A26B7F" w:rsidRPr="001C1672" w:rsidRDefault="00A26B7F" w:rsidP="0085166C">
      <w:pPr>
        <w:spacing w:before="100" w:beforeAutospacing="1" w:after="100" w:afterAutospacing="1" w:line="360" w:lineRule="auto"/>
        <w:ind w:left="720"/>
        <w:jc w:val="right"/>
        <w:rPr>
          <w:rFonts w:asciiTheme="majorBidi" w:eastAsia="Times New Roman" w:hAnsiTheme="majorBidi" w:cstheme="majorBidi"/>
          <w:b/>
          <w:bCs/>
          <w:sz w:val="28"/>
          <w:szCs w:val="28"/>
        </w:rPr>
      </w:pPr>
      <w:r w:rsidRPr="001C1672">
        <w:rPr>
          <w:rFonts w:asciiTheme="majorBidi" w:eastAsia="Times New Roman" w:hAnsiTheme="majorBidi" w:cstheme="majorBidi"/>
          <w:b/>
          <w:bCs/>
          <w:sz w:val="28"/>
          <w:szCs w:val="28"/>
        </w:rPr>
        <w:lastRenderedPageBreak/>
        <w:t xml:space="preserve">Timing of the trigger and E2 and progesterone concentrations </w:t>
      </w:r>
    </w:p>
    <w:p w14:paraId="16ADF93B" w14:textId="0A87EF7D" w:rsidR="00A26B7F" w:rsidRPr="001C1672" w:rsidRDefault="00A26B7F" w:rsidP="0085166C">
      <w:pPr>
        <w:bidi w:val="0"/>
        <w:spacing w:before="100" w:beforeAutospacing="1" w:after="100" w:afterAutospacing="1" w:line="360" w:lineRule="auto"/>
        <w:jc w:val="both"/>
        <w:rPr>
          <w:rFonts w:asciiTheme="majorBidi" w:eastAsia="Times New Roman" w:hAnsiTheme="majorBidi" w:cstheme="majorBidi"/>
          <w:sz w:val="28"/>
          <w:szCs w:val="28"/>
        </w:rPr>
      </w:pPr>
      <w:r w:rsidRPr="001C1672">
        <w:rPr>
          <w:rFonts w:asciiTheme="majorBidi" w:eastAsia="Times New Roman" w:hAnsiTheme="majorBidi" w:cstheme="majorBidi"/>
          <w:sz w:val="28"/>
          <w:szCs w:val="28"/>
        </w:rPr>
        <w:t>There exists no discernible correlation between E2 levels at the day of trigger and the outcomes of ICSI. Thus, the ESHRE 2020 guidelines for ovarian stimulation in IVF/ICSI do not advocate for the employment of either serum estradiol level or estradiol/follicle ratio as the exclusive criterion for determining the timing of the trigger in IVF/ICSI cycles</w:t>
      </w:r>
      <w:r w:rsidRPr="001C1672">
        <w:rPr>
          <w:rFonts w:asciiTheme="majorBidi" w:eastAsia="Times New Roman" w:hAnsiTheme="majorBidi" w:cstheme="majorBidi"/>
          <w:sz w:val="28"/>
          <w:szCs w:val="28"/>
          <w:vertAlign w:val="superscript"/>
        </w:rPr>
        <w:t xml:space="preserve"> </w:t>
      </w:r>
      <w:r w:rsidR="00C30408" w:rsidRPr="001C1672">
        <w:rPr>
          <w:rFonts w:asciiTheme="majorBidi" w:eastAsia="Times New Roman" w:hAnsiTheme="majorBidi" w:cstheme="majorBidi"/>
          <w:sz w:val="24"/>
          <w:szCs w:val="24"/>
          <w:vertAlign w:val="superscript"/>
        </w:rPr>
        <w:fldChar w:fldCharType="begin"/>
      </w:r>
      <w:r w:rsidR="0093521C" w:rsidRPr="001C1672">
        <w:rPr>
          <w:rFonts w:asciiTheme="majorBidi" w:eastAsia="Times New Roman" w:hAnsiTheme="majorBidi" w:cstheme="majorBidi"/>
          <w:sz w:val="24"/>
          <w:szCs w:val="24"/>
          <w:vertAlign w:val="superscript"/>
        </w:rPr>
        <w:instrText xml:space="preserve"> ADDIN ZOTERO_ITEM CSL_CITATION {"citationID":"P3ATCVy8","properties":{"formattedCitation":"(15)","plainCitation":"(15)","noteIndex":0},"citationItems":[{"id":916,"uris":["http://zotero.org/users/local/rldgneSt/items/94FKQK26"],"itemData":{"id":916,"type":"article-journal","abstract":"STUDY QUESTION: What is the recommended management of ovarian stimulation, based on the best available evidence in the literature? SUMMARY ANSWER: The guideline  development group formulated 84 recommendations answering 18 key questions on  ovarian stimulation. WHAT IS KNOWN ALREADY: Ovarian stimulation for IVF/ICSI has  been discussed briefly in the National Institute for Health and Care Excellence  guideline on fertility problems, and the Royal Australian and New Zealand College  of Obstetricians and Gynaecologist has published a statement on ovarian  stimulation in assisted reproduction. There are, to our knowledge, no  evidence-based guidelines dedicated to the process of ovarian stimulation. STUDY  DESIGN SIZE DURATION: The guideline was developed according to the structured  methodology for development of ESHRE guidelines. After formulation of key  questions by a group of experts, literature searches and assessments were  performed. Papers published up to 8 November 2018 and written in English were  included. The critical outcomes for this guideline were efficacy in terms of  cumulative live birth rate per started cycle or live birth rate per started  cycle, as well as safety in terms of the rate of occurrence of moderate and/or  severe ovarian hyperstimulation syndrome (OHSS). PARTICIPANTS/MATERIALS SETTING  METHODS: Based on the collected evidence, recommendations were formulated and  discussed until consensus was reached within the guideline group. A stakeholder  review was organized after finalization of the draft. The final version was  approved by the guideline group and the ESHRE Executive Committee. MAIN RESULTS  AND THE ROLE OF CHANCE: The guideline provides 84 recommendations: 7  recommendations on pre-stimulation management, 40 recommendations on LH  suppression and gonadotrophin stimulation, 11 recommendations on monitoring  during ovarian stimulation, 18 recommendations on triggering of final oocyte  maturation and luteal support and 8 recommendations on the prevention of OHSS.  These include 61 evidence-based recommendations-of which only 21 were formulated  as strong recommendations-and 19 good practice points and 4 research-only  recommendations. The guideline includes a strong recommendation for the use of  either antral follicle count or anti-Müllerian hormone (instead of other ovarian  reserve tests) to predict high and poor response to ovarian stimulation. The  guideline also includes a strong recommendation for the use of the GnRH  antagonist protocol over the GnRH agonist protocols in the general IVF/ICSI  population, based on the comparable efficacy and higher safety. For predicted  poor responders, GnRH antagonists and GnRH agonists are equally recommended. With  regards to hormone pre-treatment and other adjuvant treatments (metformin, growth  hormone (GH), testosterone, dehydroepiandrosterone, aspirin and sildenafil), the  guideline group concluded that none are recommended for increasing efficacy or  safety. LIMITATIONS REASON FOR CAUTION: Several newer interventions are not well  studied yet. For most of these interventions, a recommendation against the  intervention or a research-only recommendation was formulated based on  insufficient evidence. Future studies may require these recommendations to be  revised. WIDER IMPLICATIONS OF THE FINDINGS: The guideline provides clinicians  with clear advice on best practice in ovarian stimulation, based on the best  evidence available. In addition, a list of research recommendations is provided  to promote further studies in ovarian stimulation. STUDY FUNDING/COMPETING  INTERESTS: The guideline was developed and funded by ESHRE, covering expenses  associated with the guideline meetings, with the literature searches and with the  dissemination of the guideline. The guideline group members did not receive  payment. F.B. reports research grant from Ferring and consulting fees from Merck,  Ferring, Gedeon Richter and speaker's fees from Merck. N.P. reports research  grants from Ferring, MSD, Roche Diagnositics, Theramex and Besins Healthcare;  consulting fees from MSD, Ferring and IBSA; and speaker's fees from Ferring, MSD,  Merck Serono, IBSA, Theramex, Besins Healthcare, Gedeon Richter and Roche  Diagnostics. A.L.M reports research grants from Ferring, MSD, IBSA, Merck Serono,  Gedeon Richter and TEVA and consulting fees from Roche, Beckman-Coulter. G.G.  reports consulting fees from MSD, Ferring, Merck Serono, IBSA, Finox, Theramex,  Gedeon-Richter, Glycotope, Abbott, Vitrolife, Biosilu, ReprodWissen, Obseva and  PregLem and speaker's fees from MSD, Ferring, Merck Serono, IBSA, Finox, TEVA,  Gedeon Richter, Glycotope, Abbott, Vitrolife and Biosilu. E.B. reports research  grants from Gedeon Richter; consulting and speaker's fees from MSD, Ferring,  Abbot, Gedeon Richter, Merck Serono, Roche Diagnostics and IBSA; and ownership  interest from IVI-RMS Valencia. P.H. reports research grants from Gedeon Richter,  Merck, IBSA and Ferring and speaker's fees from MSD, IBSA, Merck and Gedeon  Richter. J.U. reports speaker's fees from IBSA and Ferring. N.M. reports research  grants from MSD, Merck and IBSA; consulting fees from MSD, Merck, IBSA and  Ferring and speaker's fees from MSD, Merck, IBSA, Gedeon Richter and Theramex.  M.G. reports speaker's fees from Merck Serono, Ferring, Gedeon Richter and MSD.  S.K.S. reports speaker's fees from Merck, MSD, Ferring and Pharmasure. E.K.  reports speaker's fees from Merck Serono, Angellini Pharma and MSD. M.K. reports  speaker's fees from Ferring. T.T. reports speaker's fees from Merck, MSD and MLD.  The other authors report no conflicts of interest. DISCLAIMER: This guideline  represents the views of ESHRE, which were achieved after careful consideration of  the scientific evidence available at the time of preparation. In the absence of  scientific evidence on certain aspects, a consensus between the relevant ESHRE  stakeholders has been obtained. Adherence to these clinical practice guidelines  does not guarantee a successful or specific outcome, nor does it establish a  standard of care. Clinical practice guidelines do not replace the need for  application of clinical judgment to each individual presentation, nor variations  based on locality and facility type. ESHRE makes no warranty, express or implied,  regarding the clinical practice guidelines and specifically excludes any  warranties of merchantability and fitness for a particular use or purpose. (Full  disclaimer available at www.eshre.eu/guidelines.) (†)ESHRE Pages content is not  externally peer reviewed. The manuscript has been approved by the Executive  Committee of ESHRE.","container-title":"Human reproduction open","DOI":"10.1093/hropen/hoaa009","ISSN":"2399-3529","issue":"2","journalAbbreviation":"Hum Reprod Open","language":"eng","license":"© The Author(s) 2020. Published by Oxford University Press on behalf of the European Society of Human Reproduction and Embryology.","note":"publisher-place: England\nPMID: 32395637 \nPMCID: PMC7203749","page":"hoaa009","title":"ESHRE guideline: ovarian stimulation for IVF/ICSI(†).","volume":"2020","author":[{"family":"Ovarian Stimulation","given":"The Eshre Guideline Group On"},{"family":"Bosch","given":"Ernesto"},{"family":"Broer","given":"Simone"},{"family":"Griesinger","given":"Georg"},{"family":"Grynberg","given":"Michael"},{"family":"Humaidan","given":"Peter"},{"family":"Kolibianakis","given":"Estratios"},{"family":"Kunicki","given":"Michal"},{"family":"La Marca","given":"Antonio"},{"family":"Lainas","given":"George"},{"family":"Le Clef","given":"Nathalie"},{"family":"Massin","given":"Nathalie"},{"family":"Mastenbroek","given":"Sebastiaan"},{"family":"Polyzos","given":"Nikolaos"},{"family":"Sunkara","given":"Sesh Kamal"},{"family":"Timeva","given":"Tanya"},{"family":"Töyli","given":"Mira"},{"family":"Urbancsek","given":"Janos"},{"family":"Vermeulen","given":"Nathalie"},{"family":"Broekmans","given":"Frank"}],"issued":{"date-parts":[["2020"]]}}}],"schema":"https://github.com/citation-style-language/schema/raw/master/csl-citation.json"} </w:instrText>
      </w:r>
      <w:r w:rsidR="00C30408" w:rsidRPr="001C1672">
        <w:rPr>
          <w:rFonts w:asciiTheme="majorBidi" w:eastAsia="Times New Roman" w:hAnsiTheme="majorBidi" w:cstheme="majorBidi"/>
          <w:sz w:val="24"/>
          <w:szCs w:val="24"/>
          <w:vertAlign w:val="superscript"/>
        </w:rPr>
        <w:fldChar w:fldCharType="separate"/>
      </w:r>
      <w:r w:rsidR="0093521C" w:rsidRPr="001C1672">
        <w:rPr>
          <w:rFonts w:asciiTheme="majorBidi" w:hAnsiTheme="majorBidi" w:cstheme="majorBidi"/>
          <w:sz w:val="24"/>
          <w:vertAlign w:val="superscript"/>
        </w:rPr>
        <w:t>(15)</w:t>
      </w:r>
      <w:r w:rsidR="00C30408" w:rsidRPr="001C1672">
        <w:rPr>
          <w:rFonts w:asciiTheme="majorBidi" w:eastAsia="Times New Roman" w:hAnsiTheme="majorBidi" w:cstheme="majorBidi"/>
          <w:sz w:val="24"/>
          <w:szCs w:val="24"/>
          <w:vertAlign w:val="superscript"/>
        </w:rPr>
        <w:fldChar w:fldCharType="end"/>
      </w:r>
      <w:r w:rsidRPr="001C1672">
        <w:rPr>
          <w:rFonts w:asciiTheme="majorBidi" w:eastAsia="Times New Roman" w:hAnsiTheme="majorBidi" w:cstheme="majorBidi"/>
          <w:sz w:val="28"/>
          <w:szCs w:val="28"/>
        </w:rPr>
        <w:t>. In terms of serum progesterone levels, the evidence remains insufficient to endorse the utilization of serum progesterone for ascertaining the timing of trigger administration. Furthermore, there are no unequivocal cut-off values delineating normal and elevated progesterone levels.</w:t>
      </w:r>
    </w:p>
    <w:p w14:paraId="2B3F1BB6" w14:textId="77777777" w:rsidR="00A26B7F" w:rsidRPr="001C1672" w:rsidRDefault="00A26B7F" w:rsidP="0085166C">
      <w:pPr>
        <w:spacing w:before="100" w:beforeAutospacing="1" w:after="100" w:afterAutospacing="1" w:line="360" w:lineRule="auto"/>
        <w:ind w:left="720"/>
        <w:jc w:val="right"/>
        <w:rPr>
          <w:rFonts w:asciiTheme="majorBidi" w:eastAsia="Times New Roman" w:hAnsiTheme="majorBidi" w:cstheme="majorBidi"/>
          <w:b/>
          <w:bCs/>
          <w:sz w:val="28"/>
          <w:szCs w:val="28"/>
        </w:rPr>
      </w:pPr>
      <w:r w:rsidRPr="001C1672">
        <w:rPr>
          <w:rFonts w:asciiTheme="majorBidi" w:eastAsia="Times New Roman" w:hAnsiTheme="majorBidi" w:cstheme="majorBidi"/>
          <w:b/>
          <w:bCs/>
          <w:sz w:val="28"/>
          <w:szCs w:val="28"/>
        </w:rPr>
        <w:t xml:space="preserve">Timing of the trigger and various stimulation protocols </w:t>
      </w:r>
    </w:p>
    <w:p w14:paraId="2F16CF56" w14:textId="73182B39" w:rsidR="00A26B7F" w:rsidRPr="001C1672" w:rsidRDefault="00A26B7F" w:rsidP="0085166C">
      <w:pPr>
        <w:bidi w:val="0"/>
        <w:spacing w:before="100" w:beforeAutospacing="1" w:after="100" w:afterAutospacing="1" w:line="360" w:lineRule="auto"/>
        <w:jc w:val="both"/>
        <w:rPr>
          <w:rFonts w:asciiTheme="majorBidi" w:eastAsia="Times New Roman" w:hAnsiTheme="majorBidi" w:cstheme="majorBidi"/>
          <w:sz w:val="28"/>
          <w:szCs w:val="28"/>
        </w:rPr>
      </w:pPr>
      <w:r w:rsidRPr="001C1672">
        <w:rPr>
          <w:rFonts w:asciiTheme="majorBidi" w:eastAsia="Times New Roman" w:hAnsiTheme="majorBidi" w:cstheme="majorBidi"/>
          <w:sz w:val="28"/>
          <w:szCs w:val="28"/>
        </w:rPr>
        <w:t xml:space="preserve">Postponing the administration of the HCG trigger (by 1–2 days) in agonist ICSI cycles is associated with enhanced oocyte yield, which may consequently exert a favorable influence on both the quantity of embryos produced and the rates of successful pregnancies; nonetheless, this delay could correlate with an elevated frequency of pre-ovulatory progesterone </w:t>
      </w:r>
      <w:r w:rsidR="000207BA" w:rsidRPr="001C1672">
        <w:rPr>
          <w:rFonts w:asciiTheme="majorBidi" w:eastAsia="Times New Roman" w:hAnsiTheme="majorBidi" w:cstheme="majorBidi"/>
          <w:sz w:val="28"/>
          <w:szCs w:val="28"/>
        </w:rPr>
        <w:t>surges.</w:t>
      </w:r>
      <w:r w:rsidR="000207BA" w:rsidRPr="001C1672">
        <w:rPr>
          <w:rFonts w:asciiTheme="majorBidi" w:eastAsia="Times New Roman" w:hAnsiTheme="majorBidi" w:cstheme="majorBidi"/>
          <w:sz w:val="24"/>
          <w:szCs w:val="24"/>
          <w:vertAlign w:val="superscript"/>
        </w:rPr>
        <w:t xml:space="preserve"> (15,16)</w:t>
      </w:r>
      <w:r w:rsidRPr="001C1672">
        <w:rPr>
          <w:rFonts w:asciiTheme="majorBidi" w:eastAsia="Times New Roman" w:hAnsiTheme="majorBidi" w:cstheme="majorBidi"/>
          <w:sz w:val="28"/>
          <w:szCs w:val="28"/>
          <w:vertAlign w:val="superscript"/>
        </w:rPr>
        <w:t xml:space="preserve"> </w:t>
      </w:r>
    </w:p>
    <w:p w14:paraId="191CF541" w14:textId="49E6587F" w:rsidR="00FA0E34" w:rsidRPr="001C1672" w:rsidRDefault="00A26B7F" w:rsidP="0085166C">
      <w:pPr>
        <w:bidi w:val="0"/>
        <w:spacing w:before="100" w:beforeAutospacing="1" w:after="100" w:afterAutospacing="1" w:line="360" w:lineRule="auto"/>
        <w:jc w:val="both"/>
        <w:rPr>
          <w:rFonts w:asciiTheme="majorBidi" w:eastAsia="Times New Roman" w:hAnsiTheme="majorBidi" w:cstheme="majorBidi"/>
          <w:sz w:val="28"/>
          <w:szCs w:val="28"/>
        </w:rPr>
      </w:pPr>
      <w:r w:rsidRPr="001C1672">
        <w:rPr>
          <w:rFonts w:asciiTheme="majorBidi" w:eastAsia="Times New Roman" w:hAnsiTheme="majorBidi" w:cstheme="majorBidi"/>
          <w:sz w:val="28"/>
          <w:szCs w:val="28"/>
        </w:rPr>
        <w:t>Within the framework of antagonist protocols, it appears that the initiation of oocyte maturation should be executed with greater precision (and typically at an earlier time point) than in agonist cycles; the optimal timing for triggering should occur when a minimum of three follicles have</w:t>
      </w:r>
      <w:r w:rsidR="00FE3980" w:rsidRPr="001C1672">
        <w:rPr>
          <w:rFonts w:asciiTheme="majorBidi" w:eastAsia="Times New Roman" w:hAnsiTheme="majorBidi" w:cstheme="majorBidi"/>
          <w:sz w:val="28"/>
          <w:szCs w:val="28"/>
        </w:rPr>
        <w:t xml:space="preserve"> reached a diameter of 17–18 mm </w:t>
      </w:r>
      <w:r w:rsidR="000207BA" w:rsidRPr="001C1672">
        <w:rPr>
          <w:rFonts w:asciiTheme="majorBidi" w:eastAsia="Times New Roman" w:hAnsiTheme="majorBidi" w:cstheme="majorBidi"/>
          <w:sz w:val="24"/>
          <w:szCs w:val="24"/>
          <w:vertAlign w:val="superscript"/>
        </w:rPr>
        <w:t>(17-21)</w:t>
      </w:r>
      <w:r w:rsidRPr="001C1672">
        <w:rPr>
          <w:rFonts w:asciiTheme="majorBidi" w:eastAsia="Times New Roman" w:hAnsiTheme="majorBidi" w:cstheme="majorBidi"/>
          <w:sz w:val="28"/>
          <w:szCs w:val="28"/>
        </w:rPr>
        <w:t xml:space="preserve">, while the majority of the remaining cohort of follicles should also exhibit a considerable size (≥14 mm), taking into account the requisite serum estradiol level (100–400 </w:t>
      </w:r>
      <w:proofErr w:type="spellStart"/>
      <w:r w:rsidRPr="001C1672">
        <w:rPr>
          <w:rFonts w:asciiTheme="majorBidi" w:eastAsia="Times New Roman" w:hAnsiTheme="majorBidi" w:cstheme="majorBidi"/>
          <w:sz w:val="28"/>
          <w:szCs w:val="28"/>
        </w:rPr>
        <w:t>pg</w:t>
      </w:r>
      <w:proofErr w:type="spellEnd"/>
      <w:r w:rsidRPr="001C1672">
        <w:rPr>
          <w:rFonts w:asciiTheme="majorBidi" w:eastAsia="Times New Roman" w:hAnsiTheme="majorBidi" w:cstheme="majorBidi"/>
          <w:sz w:val="28"/>
          <w:szCs w:val="28"/>
        </w:rPr>
        <w:t>/mL per oocyte).</w:t>
      </w:r>
    </w:p>
    <w:p w14:paraId="0EE38808" w14:textId="6FC6490E" w:rsidR="00A26B7F" w:rsidRPr="001C1672" w:rsidRDefault="00FA0E34" w:rsidP="00FA0E34">
      <w:pPr>
        <w:bidi w:val="0"/>
        <w:spacing w:line="278" w:lineRule="auto"/>
        <w:rPr>
          <w:rFonts w:asciiTheme="majorBidi" w:eastAsia="Times New Roman" w:hAnsiTheme="majorBidi" w:cstheme="majorBidi"/>
          <w:sz w:val="28"/>
          <w:szCs w:val="28"/>
        </w:rPr>
      </w:pPr>
      <w:r w:rsidRPr="001C1672">
        <w:rPr>
          <w:rFonts w:asciiTheme="majorBidi" w:eastAsia="Times New Roman" w:hAnsiTheme="majorBidi" w:cstheme="majorBidi"/>
          <w:sz w:val="28"/>
          <w:szCs w:val="28"/>
        </w:rPr>
        <w:br w:type="page"/>
      </w:r>
    </w:p>
    <w:p w14:paraId="2C7218D2" w14:textId="77777777" w:rsidR="00A26B7F" w:rsidRPr="001C1672" w:rsidRDefault="00A26B7F" w:rsidP="0085166C">
      <w:pPr>
        <w:spacing w:before="100" w:beforeAutospacing="1" w:after="100" w:afterAutospacing="1" w:line="360" w:lineRule="auto"/>
        <w:ind w:left="720"/>
        <w:jc w:val="right"/>
        <w:rPr>
          <w:rFonts w:asciiTheme="majorBidi" w:eastAsia="Times New Roman" w:hAnsiTheme="majorBidi" w:cstheme="majorBidi"/>
          <w:sz w:val="28"/>
          <w:szCs w:val="28"/>
        </w:rPr>
      </w:pPr>
      <w:r w:rsidRPr="001C1672">
        <w:rPr>
          <w:rFonts w:asciiTheme="majorBidi" w:eastAsia="Times New Roman" w:hAnsiTheme="majorBidi" w:cstheme="majorBidi"/>
          <w:b/>
          <w:bCs/>
          <w:sz w:val="28"/>
          <w:szCs w:val="28"/>
        </w:rPr>
        <w:lastRenderedPageBreak/>
        <w:t>Timing of the trigger and differing ovarian reserves</w:t>
      </w:r>
      <w:r w:rsidRPr="001C1672">
        <w:rPr>
          <w:rFonts w:asciiTheme="majorBidi" w:eastAsia="Times New Roman" w:hAnsiTheme="majorBidi" w:cstheme="majorBidi"/>
          <w:sz w:val="28"/>
          <w:szCs w:val="28"/>
        </w:rPr>
        <w:t xml:space="preserve"> </w:t>
      </w:r>
    </w:p>
    <w:p w14:paraId="1406CF4E" w14:textId="0CFE2A9B" w:rsidR="00A26B7F" w:rsidRPr="001C1672" w:rsidRDefault="00A26B7F" w:rsidP="000207BA">
      <w:pPr>
        <w:bidi w:val="0"/>
        <w:spacing w:before="100" w:beforeAutospacing="1" w:after="100" w:afterAutospacing="1" w:line="360" w:lineRule="auto"/>
        <w:jc w:val="both"/>
        <w:rPr>
          <w:rFonts w:asciiTheme="majorBidi" w:eastAsia="Times New Roman" w:hAnsiTheme="majorBidi" w:cstheme="majorBidi"/>
          <w:sz w:val="28"/>
          <w:szCs w:val="28"/>
        </w:rPr>
      </w:pPr>
      <w:r w:rsidRPr="001C1672">
        <w:rPr>
          <w:rFonts w:asciiTheme="majorBidi" w:eastAsia="Times New Roman" w:hAnsiTheme="majorBidi" w:cstheme="majorBidi"/>
          <w:sz w:val="28"/>
          <w:szCs w:val="28"/>
        </w:rPr>
        <w:t xml:space="preserve">Women exhibiting normal ovarian reserve and those classified as poor responders should not be evaluated by the same parameters during ovarian stimulation, as factors such as early follicular recruitment, the rate of follicular development, endometrial receptivity, and the duration of stimulation significantly differ. A judicious duration of FSH stimulation, in conjunction with criteria based on follicular size, as well as serum estradiol and progesterone concentrations, are critical determinants in establishing trigger timing that effectively balances oocyte maturation with endometrial receptivity. In the context of </w:t>
      </w:r>
      <w:proofErr w:type="gramStart"/>
      <w:r w:rsidRPr="001C1672">
        <w:rPr>
          <w:rFonts w:asciiTheme="majorBidi" w:eastAsia="Times New Roman" w:hAnsiTheme="majorBidi" w:cstheme="majorBidi"/>
          <w:sz w:val="28"/>
          <w:szCs w:val="28"/>
        </w:rPr>
        <w:t>PCOS, whether</w:t>
      </w:r>
      <w:proofErr w:type="gramEnd"/>
      <w:r w:rsidRPr="001C1672">
        <w:rPr>
          <w:rFonts w:asciiTheme="majorBidi" w:eastAsia="Times New Roman" w:hAnsiTheme="majorBidi" w:cstheme="majorBidi"/>
          <w:sz w:val="28"/>
          <w:szCs w:val="28"/>
        </w:rPr>
        <w:t xml:space="preserve"> utilizing a GnRH agonist long protocol or a GnRH antagonist protocol, it is imperative to find an equilibrium between the risk of ovarian hyper</w:t>
      </w:r>
      <w:r w:rsidR="00544A47" w:rsidRPr="001C1672">
        <w:rPr>
          <w:rFonts w:asciiTheme="majorBidi" w:eastAsia="Times New Roman" w:hAnsiTheme="majorBidi" w:cstheme="majorBidi"/>
          <w:sz w:val="28"/>
          <w:szCs w:val="28"/>
        </w:rPr>
        <w:t>-</w:t>
      </w:r>
      <w:r w:rsidRPr="001C1672">
        <w:rPr>
          <w:rFonts w:asciiTheme="majorBidi" w:eastAsia="Times New Roman" w:hAnsiTheme="majorBidi" w:cstheme="majorBidi"/>
          <w:sz w:val="28"/>
          <w:szCs w:val="28"/>
        </w:rPr>
        <w:t>stimulation syndrome (OHSS) and the likelihood of clinical pregnancy when determining the timing of the trigger.</w:t>
      </w:r>
    </w:p>
    <w:p w14:paraId="44BF1B21" w14:textId="77777777" w:rsidR="0085166C" w:rsidRPr="001C1672" w:rsidRDefault="00A26B7F" w:rsidP="0085166C">
      <w:pPr>
        <w:bidi w:val="0"/>
        <w:spacing w:before="100" w:beforeAutospacing="1" w:after="100" w:afterAutospacing="1" w:line="360" w:lineRule="auto"/>
        <w:rPr>
          <w:rFonts w:asciiTheme="majorBidi" w:eastAsia="Times New Roman" w:hAnsiTheme="majorBidi" w:cstheme="majorBidi"/>
          <w:b/>
          <w:bCs/>
          <w:sz w:val="28"/>
          <w:szCs w:val="28"/>
        </w:rPr>
      </w:pPr>
      <w:r w:rsidRPr="001C1672">
        <w:rPr>
          <w:rFonts w:asciiTheme="majorBidi" w:eastAsia="Times New Roman" w:hAnsiTheme="majorBidi" w:cstheme="majorBidi"/>
          <w:b/>
          <w:bCs/>
          <w:sz w:val="28"/>
          <w:szCs w:val="28"/>
        </w:rPr>
        <w:t xml:space="preserve">Timing of the triggers and artificial intelligence </w:t>
      </w:r>
    </w:p>
    <w:p w14:paraId="7A1FF5D2" w14:textId="7DE67407" w:rsidR="00A26B7F" w:rsidRPr="001C1672" w:rsidRDefault="00A26B7F" w:rsidP="000207BA">
      <w:pPr>
        <w:bidi w:val="0"/>
        <w:spacing w:before="100" w:beforeAutospacing="1" w:after="100" w:afterAutospacing="1" w:line="360" w:lineRule="auto"/>
        <w:jc w:val="both"/>
        <w:rPr>
          <w:rFonts w:asciiTheme="majorBidi" w:eastAsia="Times New Roman" w:hAnsiTheme="majorBidi" w:cstheme="majorBidi"/>
          <w:b/>
          <w:bCs/>
          <w:sz w:val="28"/>
          <w:szCs w:val="28"/>
        </w:rPr>
      </w:pPr>
      <w:r w:rsidRPr="001C1672">
        <w:rPr>
          <w:rFonts w:asciiTheme="majorBidi" w:eastAsia="Times New Roman" w:hAnsiTheme="majorBidi" w:cstheme="majorBidi"/>
          <w:sz w:val="28"/>
          <w:szCs w:val="28"/>
        </w:rPr>
        <w:t>Recognizing the paramount importance of accurately ascertaining the optimal timing for the trigger, artificial intelligence-driven models are being developed to enhance trigger timing by amalgamating pre-stimulation characteristics with real-time ovarian response metrics, such as follicle count and size, aimed at optimizing oocyte yield and improving procedural efficacy.</w:t>
      </w:r>
    </w:p>
    <w:p w14:paraId="372669AF" w14:textId="77777777" w:rsidR="00A26B7F" w:rsidRPr="001C1672" w:rsidRDefault="00A26B7F" w:rsidP="000207BA">
      <w:pPr>
        <w:bidi w:val="0"/>
        <w:spacing w:before="100" w:beforeAutospacing="1" w:after="100" w:afterAutospacing="1" w:line="360" w:lineRule="auto"/>
        <w:jc w:val="both"/>
        <w:rPr>
          <w:rFonts w:asciiTheme="majorBidi" w:eastAsia="Times New Roman" w:hAnsiTheme="majorBidi" w:cstheme="majorBidi"/>
          <w:sz w:val="28"/>
          <w:szCs w:val="28"/>
        </w:rPr>
      </w:pPr>
      <w:r w:rsidRPr="001C1672">
        <w:rPr>
          <w:rFonts w:asciiTheme="majorBidi" w:eastAsia="Times New Roman" w:hAnsiTheme="majorBidi" w:cstheme="majorBidi"/>
          <w:sz w:val="28"/>
          <w:szCs w:val="28"/>
        </w:rPr>
        <w:t>Serum estradiol concentrations and three-dimensional assessments of follicular volume via ultrasound have been utilized to ascertain the ideal trigger day and to predict the number of oocytes to be retrieved, with a focus on synchronizing this process with the peak representation of metaphase II (MII) oocytes.</w:t>
      </w:r>
    </w:p>
    <w:p w14:paraId="41B4AFE0" w14:textId="2A5E7D6B" w:rsidR="00A26B7F" w:rsidRPr="001C1672" w:rsidRDefault="00A26B7F" w:rsidP="000207BA">
      <w:pPr>
        <w:bidi w:val="0"/>
        <w:spacing w:before="100" w:beforeAutospacing="1" w:after="100" w:afterAutospacing="1" w:line="360" w:lineRule="auto"/>
        <w:jc w:val="both"/>
        <w:rPr>
          <w:rFonts w:asciiTheme="majorBidi" w:eastAsia="Times New Roman" w:hAnsiTheme="majorBidi" w:cstheme="majorBidi"/>
          <w:sz w:val="28"/>
          <w:szCs w:val="28"/>
        </w:rPr>
      </w:pPr>
      <w:r w:rsidRPr="001C1672">
        <w:rPr>
          <w:rFonts w:asciiTheme="majorBidi" w:eastAsia="Times New Roman" w:hAnsiTheme="majorBidi" w:cstheme="majorBidi"/>
          <w:sz w:val="28"/>
          <w:szCs w:val="28"/>
        </w:rPr>
        <w:t xml:space="preserve">Contemporary predictive models predominantly emphasize the optimization of trigger timing; however, forthcoming advancements are anticipated to incorporate </w:t>
      </w:r>
      <w:r w:rsidRPr="001C1672">
        <w:rPr>
          <w:rFonts w:asciiTheme="majorBidi" w:eastAsia="Times New Roman" w:hAnsiTheme="majorBidi" w:cstheme="majorBidi"/>
          <w:sz w:val="28"/>
          <w:szCs w:val="28"/>
        </w:rPr>
        <w:lastRenderedPageBreak/>
        <w:t xml:space="preserve">additional variables, including the type and dosage of trigger, </w:t>
      </w:r>
      <w:proofErr w:type="gramStart"/>
      <w:r w:rsidRPr="001C1672">
        <w:rPr>
          <w:rFonts w:asciiTheme="majorBidi" w:eastAsia="Times New Roman" w:hAnsiTheme="majorBidi" w:cstheme="majorBidi"/>
          <w:sz w:val="28"/>
          <w:szCs w:val="28"/>
        </w:rPr>
        <w:t>in order to</w:t>
      </w:r>
      <w:proofErr w:type="gramEnd"/>
      <w:r w:rsidRPr="001C1672">
        <w:rPr>
          <w:rFonts w:asciiTheme="majorBidi" w:eastAsia="Times New Roman" w:hAnsiTheme="majorBidi" w:cstheme="majorBidi"/>
          <w:sz w:val="28"/>
          <w:szCs w:val="28"/>
        </w:rPr>
        <w:t xml:space="preserve"> further individualize and enhance ovarian stimulation protocols</w:t>
      </w:r>
      <w:r w:rsidR="00FE3980" w:rsidRPr="001C1672">
        <w:rPr>
          <w:rFonts w:asciiTheme="majorBidi" w:eastAsia="Times New Roman" w:hAnsiTheme="majorBidi" w:cstheme="majorBidi"/>
          <w:sz w:val="28"/>
          <w:szCs w:val="28"/>
        </w:rPr>
        <w:t xml:space="preserve"> </w:t>
      </w:r>
      <w:r w:rsidR="000207BA" w:rsidRPr="001C1672">
        <w:rPr>
          <w:rFonts w:asciiTheme="majorBidi" w:eastAsia="Times New Roman" w:hAnsiTheme="majorBidi" w:cstheme="majorBidi"/>
          <w:sz w:val="24"/>
          <w:szCs w:val="24"/>
          <w:vertAlign w:val="superscript"/>
        </w:rPr>
        <w:t>(22,23)</w:t>
      </w:r>
      <w:r w:rsidRPr="001C1672">
        <w:rPr>
          <w:rFonts w:asciiTheme="majorBidi" w:eastAsia="Times New Roman" w:hAnsiTheme="majorBidi" w:cstheme="majorBidi"/>
          <w:sz w:val="28"/>
          <w:szCs w:val="28"/>
        </w:rPr>
        <w:t>.</w:t>
      </w:r>
    </w:p>
    <w:p w14:paraId="6E8BCB29" w14:textId="50E60C5B" w:rsidR="00A83E5F" w:rsidRPr="001C1672" w:rsidRDefault="0008720C" w:rsidP="00544A47">
      <w:pPr>
        <w:bidi w:val="0"/>
        <w:spacing w:line="360" w:lineRule="auto"/>
        <w:rPr>
          <w:rFonts w:asciiTheme="majorBidi" w:eastAsiaTheme="majorEastAsia" w:hAnsiTheme="majorBidi" w:cstheme="majorBidi"/>
          <w:b/>
          <w:bCs/>
          <w:sz w:val="32"/>
          <w:szCs w:val="32"/>
        </w:rPr>
      </w:pPr>
      <w:r w:rsidRPr="001C1672">
        <w:rPr>
          <w:rStyle w:val="Strong"/>
          <w:rFonts w:asciiTheme="majorBidi" w:eastAsiaTheme="majorEastAsia" w:hAnsiTheme="majorBidi" w:cstheme="majorBidi"/>
          <w:sz w:val="32"/>
          <w:szCs w:val="32"/>
        </w:rPr>
        <w:t>Objective of the Study</w:t>
      </w:r>
    </w:p>
    <w:p w14:paraId="2CCCAEB6" w14:textId="0EC112B6" w:rsidR="008315E2" w:rsidRPr="001C1672" w:rsidRDefault="008315E2" w:rsidP="00544A47">
      <w:pPr>
        <w:pStyle w:val="NormalWeb"/>
        <w:spacing w:line="360" w:lineRule="auto"/>
        <w:jc w:val="both"/>
        <w:rPr>
          <w:rFonts w:asciiTheme="majorBidi" w:hAnsiTheme="majorBidi" w:cstheme="majorBidi"/>
          <w:sz w:val="28"/>
          <w:szCs w:val="28"/>
        </w:rPr>
      </w:pPr>
      <w:r w:rsidRPr="001C1672">
        <w:rPr>
          <w:rFonts w:asciiTheme="majorBidi" w:hAnsiTheme="majorBidi" w:cstheme="majorBidi"/>
          <w:sz w:val="28"/>
          <w:szCs w:val="28"/>
        </w:rPr>
        <w:t>The objective of this study is to develop a robust predictive model utilizing Meta AI to determine the optimal timing for the administration of the ovulation trigger, with the aim of maximizing both the total number of oocytes retrieved on the day of oocyte pick-up (OPU) and the quantity of mature metaphase II (MII) oocytes. By incorporating a comprehensive set of clinical variables into the AI framework, this study endeavors to generate a decision-support tool that will assist clinicians and patients in making evidence-based decisions regarding the timing of ovulation induction without real-world data. Ultimately, this model aspires to enhance the efficiency and outcomes of in vitro fertilization (IVF) and intracytoplasmic sperm injection (ICSI) procedures.</w:t>
      </w:r>
    </w:p>
    <w:p w14:paraId="0B7B83FB" w14:textId="4F84E699" w:rsidR="002A6FC0" w:rsidRPr="001C1672" w:rsidRDefault="002A6FC0" w:rsidP="000D0081">
      <w:pPr>
        <w:pStyle w:val="NormalWeb"/>
        <w:spacing w:line="360" w:lineRule="auto"/>
        <w:rPr>
          <w:rFonts w:asciiTheme="majorBidi" w:hAnsiTheme="majorBidi" w:cstheme="majorBidi"/>
          <w:b/>
          <w:bCs/>
          <w:sz w:val="32"/>
          <w:szCs w:val="32"/>
        </w:rPr>
      </w:pPr>
      <w:r w:rsidRPr="001C1672">
        <w:rPr>
          <w:rFonts w:asciiTheme="majorBidi" w:hAnsiTheme="majorBidi" w:cstheme="majorBidi"/>
          <w:b/>
          <w:bCs/>
          <w:sz w:val="32"/>
          <w:szCs w:val="32"/>
        </w:rPr>
        <w:t>Methodology</w:t>
      </w:r>
    </w:p>
    <w:p w14:paraId="3FAA5EA2" w14:textId="77777777" w:rsidR="0085166C" w:rsidRPr="001C1672" w:rsidRDefault="00AE7166" w:rsidP="0085166C">
      <w:pPr>
        <w:pStyle w:val="NormalWeb"/>
        <w:spacing w:line="360" w:lineRule="auto"/>
        <w:jc w:val="both"/>
        <w:rPr>
          <w:rFonts w:asciiTheme="majorBidi" w:hAnsiTheme="majorBidi" w:cstheme="majorBidi"/>
          <w:b/>
          <w:bCs/>
          <w:sz w:val="28"/>
          <w:szCs w:val="28"/>
        </w:rPr>
      </w:pPr>
      <w:r w:rsidRPr="001C1672">
        <w:rPr>
          <w:rFonts w:asciiTheme="majorBidi" w:hAnsiTheme="majorBidi" w:cstheme="majorBidi"/>
          <w:b/>
          <w:bCs/>
          <w:sz w:val="28"/>
          <w:szCs w:val="28"/>
        </w:rPr>
        <w:t>Problem Definition</w:t>
      </w:r>
    </w:p>
    <w:p w14:paraId="0F5498E8" w14:textId="64BD2108" w:rsidR="00AE7166" w:rsidRPr="001C1672" w:rsidRDefault="00AE7166" w:rsidP="0085166C">
      <w:pPr>
        <w:pStyle w:val="NormalWeb"/>
        <w:spacing w:line="360" w:lineRule="auto"/>
        <w:jc w:val="both"/>
        <w:rPr>
          <w:rFonts w:asciiTheme="majorBidi" w:hAnsiTheme="majorBidi" w:cstheme="majorBidi"/>
          <w:b/>
          <w:bCs/>
          <w:sz w:val="28"/>
          <w:szCs w:val="28"/>
        </w:rPr>
      </w:pPr>
      <w:r w:rsidRPr="001C1672">
        <w:rPr>
          <w:rFonts w:asciiTheme="majorBidi" w:hAnsiTheme="majorBidi" w:cstheme="majorBidi"/>
          <w:sz w:val="28"/>
          <w:szCs w:val="28"/>
        </w:rPr>
        <w:t>This study addresses a critical challenge encountered in the context of intracytoplasmic sperm injection (</w:t>
      </w:r>
      <w:r w:rsidR="00157C92" w:rsidRPr="001C1672">
        <w:rPr>
          <w:rFonts w:asciiTheme="majorBidi" w:hAnsiTheme="majorBidi" w:cstheme="majorBidi"/>
          <w:sz w:val="28"/>
          <w:szCs w:val="28"/>
        </w:rPr>
        <w:t xml:space="preserve">ICSI) - </w:t>
      </w:r>
      <w:r w:rsidRPr="001C1672">
        <w:rPr>
          <w:rFonts w:asciiTheme="majorBidi" w:hAnsiTheme="majorBidi" w:cstheme="majorBidi"/>
          <w:sz w:val="28"/>
          <w:szCs w:val="28"/>
        </w:rPr>
        <w:t>the optimization of ovulation trigger timing. The objective is to develop a predictive model that accurately forecasts the optimal timing for ovulation trigger administration to enhance the outcomes of oocyte retrieval, including maximizing the total number of oocytes and the number of mature metaphase II (MII) oocytes.</w:t>
      </w:r>
    </w:p>
    <w:p w14:paraId="6DD57976" w14:textId="77777777" w:rsidR="000207BA" w:rsidRPr="001C1672" w:rsidRDefault="000207BA">
      <w:pPr>
        <w:bidi w:val="0"/>
        <w:spacing w:line="278" w:lineRule="auto"/>
        <w:rPr>
          <w:rFonts w:asciiTheme="majorBidi" w:eastAsia="Times New Roman" w:hAnsiTheme="majorBidi" w:cstheme="majorBidi"/>
          <w:sz w:val="28"/>
          <w:szCs w:val="28"/>
        </w:rPr>
      </w:pPr>
      <w:r w:rsidRPr="001C1672">
        <w:rPr>
          <w:rFonts w:asciiTheme="majorBidi" w:hAnsiTheme="majorBidi" w:cstheme="majorBidi"/>
          <w:sz w:val="28"/>
          <w:szCs w:val="28"/>
        </w:rPr>
        <w:br w:type="page"/>
      </w:r>
    </w:p>
    <w:p w14:paraId="6A360B42" w14:textId="77777777" w:rsidR="000207BA" w:rsidRPr="001C1672" w:rsidRDefault="0085166C" w:rsidP="000207BA">
      <w:pPr>
        <w:pStyle w:val="NormalWeb"/>
        <w:spacing w:line="360" w:lineRule="auto"/>
        <w:rPr>
          <w:rFonts w:asciiTheme="majorBidi" w:hAnsiTheme="majorBidi" w:cstheme="majorBidi"/>
          <w:b/>
          <w:bCs/>
          <w:sz w:val="28"/>
          <w:szCs w:val="28"/>
        </w:rPr>
      </w:pPr>
      <w:r w:rsidRPr="001C1672">
        <w:rPr>
          <w:rFonts w:asciiTheme="majorBidi" w:hAnsiTheme="majorBidi" w:cstheme="majorBidi"/>
          <w:b/>
          <w:bCs/>
          <w:sz w:val="28"/>
          <w:szCs w:val="28"/>
        </w:rPr>
        <w:lastRenderedPageBreak/>
        <w:t xml:space="preserve">Literature </w:t>
      </w:r>
      <w:r w:rsidR="00AE7166" w:rsidRPr="001C1672">
        <w:rPr>
          <w:rFonts w:asciiTheme="majorBidi" w:hAnsiTheme="majorBidi" w:cstheme="majorBidi"/>
          <w:b/>
          <w:bCs/>
          <w:sz w:val="28"/>
          <w:szCs w:val="28"/>
        </w:rPr>
        <w:t>Review</w:t>
      </w:r>
    </w:p>
    <w:p w14:paraId="3B7AAA10" w14:textId="365AD578" w:rsidR="00AE7166" w:rsidRPr="001C1672" w:rsidRDefault="00AE7166" w:rsidP="000207BA">
      <w:pPr>
        <w:pStyle w:val="NormalWeb"/>
        <w:spacing w:line="360" w:lineRule="auto"/>
        <w:jc w:val="both"/>
        <w:rPr>
          <w:rFonts w:asciiTheme="majorBidi" w:hAnsiTheme="majorBidi" w:cstheme="majorBidi"/>
          <w:b/>
          <w:bCs/>
          <w:sz w:val="28"/>
          <w:szCs w:val="28"/>
        </w:rPr>
      </w:pPr>
      <w:r w:rsidRPr="001C1672">
        <w:rPr>
          <w:rFonts w:asciiTheme="majorBidi" w:hAnsiTheme="majorBidi" w:cstheme="majorBidi"/>
          <w:sz w:val="28"/>
          <w:szCs w:val="28"/>
        </w:rPr>
        <w:t>A comprehensive literature review was conducted to assess existing predictive models and to identify factors influencing the timing of ovulation trigger administration. Relevant studies were systematically reviewed, and data on various predictive factors were extracted. These included patient demographics (age and body mass index [BMI]), ovarian reserve markers (anti-Müllerian hormone [AMH] levels and antral follicle count [AFC]), gonadotropin dosing regimens, ovarian response characteristics, the number of follicles, the size of the leading follicle, stimulation duration, and hormonal parameters such as estradiol and serum progesterone levels.</w:t>
      </w:r>
    </w:p>
    <w:p w14:paraId="2DE63000" w14:textId="77777777" w:rsidR="000207BA" w:rsidRPr="001C1672" w:rsidRDefault="00AE7166" w:rsidP="0085166C">
      <w:pPr>
        <w:pStyle w:val="NormalWeb"/>
        <w:spacing w:line="360" w:lineRule="auto"/>
        <w:rPr>
          <w:rFonts w:asciiTheme="majorBidi" w:hAnsiTheme="majorBidi" w:cstheme="majorBidi"/>
          <w:b/>
          <w:bCs/>
          <w:sz w:val="28"/>
          <w:szCs w:val="28"/>
        </w:rPr>
      </w:pPr>
      <w:r w:rsidRPr="001C1672">
        <w:rPr>
          <w:rFonts w:asciiTheme="majorBidi" w:hAnsiTheme="majorBidi" w:cstheme="majorBidi"/>
          <w:b/>
          <w:bCs/>
          <w:sz w:val="28"/>
          <w:szCs w:val="28"/>
        </w:rPr>
        <w:t>Model Selection</w:t>
      </w:r>
    </w:p>
    <w:p w14:paraId="6BDB00FA" w14:textId="72CC4664" w:rsidR="00AE7166" w:rsidRPr="001C1672" w:rsidRDefault="00AE7166" w:rsidP="000207BA">
      <w:pPr>
        <w:pStyle w:val="NormalWeb"/>
        <w:spacing w:line="360" w:lineRule="auto"/>
        <w:jc w:val="both"/>
        <w:rPr>
          <w:rFonts w:asciiTheme="majorBidi" w:hAnsiTheme="majorBidi" w:cstheme="majorBidi"/>
          <w:b/>
          <w:bCs/>
          <w:sz w:val="28"/>
          <w:szCs w:val="28"/>
        </w:rPr>
      </w:pPr>
      <w:r w:rsidRPr="001C1672">
        <w:rPr>
          <w:rFonts w:asciiTheme="majorBidi" w:hAnsiTheme="majorBidi" w:cstheme="majorBidi"/>
          <w:sz w:val="28"/>
          <w:szCs w:val="28"/>
        </w:rPr>
        <w:t xml:space="preserve">Several machine learning algorithms were considered for model development, including logistic regression, </w:t>
      </w:r>
      <w:proofErr w:type="gramStart"/>
      <w:r w:rsidRPr="001C1672">
        <w:rPr>
          <w:rFonts w:asciiTheme="majorBidi" w:hAnsiTheme="majorBidi" w:cstheme="majorBidi"/>
          <w:sz w:val="28"/>
          <w:szCs w:val="28"/>
        </w:rPr>
        <w:t>decision</w:t>
      </w:r>
      <w:proofErr w:type="gramEnd"/>
      <w:r w:rsidRPr="001C1672">
        <w:rPr>
          <w:rFonts w:asciiTheme="majorBidi" w:hAnsiTheme="majorBidi" w:cstheme="majorBidi"/>
          <w:sz w:val="28"/>
          <w:szCs w:val="28"/>
        </w:rPr>
        <w:t xml:space="preserve"> trees, random forests, and neural networks. After a careful evaluation of the advantages and limitations of each method, logistic regression was chosen as the initial model due to its simplicity, interpretability, and efficacy in clinical prediction settings.</w:t>
      </w:r>
    </w:p>
    <w:p w14:paraId="45B5BE2B" w14:textId="77777777" w:rsidR="00107C9C" w:rsidRPr="001C1672" w:rsidRDefault="00AE7166" w:rsidP="000D0081">
      <w:pPr>
        <w:pStyle w:val="NormalWeb"/>
        <w:spacing w:line="360" w:lineRule="auto"/>
        <w:rPr>
          <w:rFonts w:asciiTheme="majorBidi" w:hAnsiTheme="majorBidi" w:cstheme="majorBidi"/>
          <w:b/>
          <w:bCs/>
          <w:sz w:val="28"/>
          <w:szCs w:val="28"/>
        </w:rPr>
      </w:pPr>
      <w:r w:rsidRPr="001C1672">
        <w:rPr>
          <w:rFonts w:asciiTheme="majorBidi" w:hAnsiTheme="majorBidi" w:cstheme="majorBidi"/>
          <w:b/>
          <w:bCs/>
          <w:sz w:val="28"/>
          <w:szCs w:val="28"/>
        </w:rPr>
        <w:t>Model Development</w:t>
      </w:r>
    </w:p>
    <w:p w14:paraId="4BC15681" w14:textId="684D4180" w:rsidR="00AE7166" w:rsidRPr="001C1672" w:rsidRDefault="00AE7166" w:rsidP="00107C9C">
      <w:pPr>
        <w:pStyle w:val="NormalWeb"/>
        <w:spacing w:line="360" w:lineRule="auto"/>
        <w:jc w:val="both"/>
        <w:rPr>
          <w:rFonts w:asciiTheme="majorBidi" w:hAnsiTheme="majorBidi" w:cstheme="majorBidi"/>
          <w:sz w:val="28"/>
          <w:szCs w:val="28"/>
        </w:rPr>
      </w:pPr>
      <w:r w:rsidRPr="001C1672">
        <w:rPr>
          <w:rFonts w:asciiTheme="majorBidi" w:hAnsiTheme="majorBidi" w:cstheme="majorBidi"/>
          <w:sz w:val="28"/>
          <w:szCs w:val="28"/>
        </w:rPr>
        <w:t>The predictive model was developed using Meta AI and logistic regression methodology. This theoretical framework was applied in the absence of real-world patient data, facilitating the construction of a robust predictive tool for ovulation trigger timing. The model incorporated key predictive factors identified during the literature review, including age, BMI, ovarian reserve markers (AMH and AFC), gonadotropin dose, ovarian response, follicular count, the size of the leading follicle, stimulation duration, and hormonal levels (estradiol and progesterone).</w:t>
      </w:r>
    </w:p>
    <w:p w14:paraId="242185D0" w14:textId="77777777" w:rsidR="00107C9C" w:rsidRPr="001C1672" w:rsidRDefault="00AE7166" w:rsidP="000D0081">
      <w:pPr>
        <w:pStyle w:val="NormalWeb"/>
        <w:spacing w:line="360" w:lineRule="auto"/>
        <w:rPr>
          <w:rFonts w:asciiTheme="majorBidi" w:hAnsiTheme="majorBidi" w:cstheme="majorBidi"/>
          <w:b/>
          <w:bCs/>
          <w:sz w:val="28"/>
          <w:szCs w:val="28"/>
        </w:rPr>
      </w:pPr>
      <w:r w:rsidRPr="001C1672">
        <w:rPr>
          <w:rFonts w:asciiTheme="majorBidi" w:hAnsiTheme="majorBidi" w:cstheme="majorBidi"/>
          <w:b/>
          <w:bCs/>
          <w:sz w:val="28"/>
          <w:szCs w:val="28"/>
        </w:rPr>
        <w:lastRenderedPageBreak/>
        <w:t>Model Inputs</w:t>
      </w:r>
    </w:p>
    <w:p w14:paraId="53206B0E" w14:textId="351747B7" w:rsidR="00AE7166" w:rsidRPr="001C1672" w:rsidRDefault="00AE7166" w:rsidP="00107C9C">
      <w:pPr>
        <w:pStyle w:val="NormalWeb"/>
        <w:spacing w:line="360" w:lineRule="auto"/>
        <w:jc w:val="both"/>
        <w:rPr>
          <w:rFonts w:asciiTheme="majorBidi" w:hAnsiTheme="majorBidi" w:cstheme="majorBidi"/>
          <w:sz w:val="28"/>
          <w:szCs w:val="28"/>
        </w:rPr>
      </w:pPr>
      <w:r w:rsidRPr="001C1672">
        <w:rPr>
          <w:rFonts w:asciiTheme="majorBidi" w:hAnsiTheme="majorBidi" w:cstheme="majorBidi"/>
          <w:sz w:val="28"/>
          <w:szCs w:val="28"/>
        </w:rPr>
        <w:t>The input variables included in the model were:</w:t>
      </w:r>
    </w:p>
    <w:p w14:paraId="1DB7C9E9" w14:textId="77777777" w:rsidR="00AE7166" w:rsidRPr="001C1672" w:rsidRDefault="00AE7166" w:rsidP="00107C9C">
      <w:pPr>
        <w:pStyle w:val="NormalWeb"/>
        <w:numPr>
          <w:ilvl w:val="0"/>
          <w:numId w:val="23"/>
        </w:numPr>
        <w:spacing w:line="360" w:lineRule="auto"/>
        <w:jc w:val="both"/>
        <w:rPr>
          <w:rFonts w:asciiTheme="majorBidi" w:hAnsiTheme="majorBidi" w:cstheme="majorBidi"/>
          <w:sz w:val="28"/>
          <w:szCs w:val="28"/>
        </w:rPr>
      </w:pPr>
      <w:r w:rsidRPr="001C1672">
        <w:rPr>
          <w:rFonts w:asciiTheme="majorBidi" w:hAnsiTheme="majorBidi" w:cstheme="majorBidi"/>
          <w:sz w:val="28"/>
          <w:szCs w:val="28"/>
        </w:rPr>
        <w:t>Female age</w:t>
      </w:r>
    </w:p>
    <w:p w14:paraId="2EC9B09C" w14:textId="77777777" w:rsidR="00AE7166" w:rsidRPr="001C1672" w:rsidRDefault="00AE7166" w:rsidP="00107C9C">
      <w:pPr>
        <w:pStyle w:val="NormalWeb"/>
        <w:numPr>
          <w:ilvl w:val="0"/>
          <w:numId w:val="23"/>
        </w:numPr>
        <w:spacing w:line="360" w:lineRule="auto"/>
        <w:jc w:val="both"/>
        <w:rPr>
          <w:rFonts w:asciiTheme="majorBidi" w:hAnsiTheme="majorBidi" w:cstheme="majorBidi"/>
          <w:sz w:val="28"/>
          <w:szCs w:val="28"/>
        </w:rPr>
      </w:pPr>
      <w:r w:rsidRPr="001C1672">
        <w:rPr>
          <w:rFonts w:asciiTheme="majorBidi" w:hAnsiTheme="majorBidi" w:cstheme="majorBidi"/>
          <w:sz w:val="28"/>
          <w:szCs w:val="28"/>
        </w:rPr>
        <w:t>Body mass index (BMI)</w:t>
      </w:r>
    </w:p>
    <w:p w14:paraId="0A8916A9" w14:textId="77777777" w:rsidR="00AE7166" w:rsidRPr="001C1672" w:rsidRDefault="00AE7166" w:rsidP="00107C9C">
      <w:pPr>
        <w:pStyle w:val="NormalWeb"/>
        <w:numPr>
          <w:ilvl w:val="0"/>
          <w:numId w:val="23"/>
        </w:numPr>
        <w:spacing w:line="360" w:lineRule="auto"/>
        <w:jc w:val="both"/>
        <w:rPr>
          <w:rFonts w:asciiTheme="majorBidi" w:hAnsiTheme="majorBidi" w:cstheme="majorBidi"/>
          <w:sz w:val="28"/>
          <w:szCs w:val="28"/>
        </w:rPr>
      </w:pPr>
      <w:r w:rsidRPr="001C1672">
        <w:rPr>
          <w:rFonts w:asciiTheme="majorBidi" w:hAnsiTheme="majorBidi" w:cstheme="majorBidi"/>
          <w:sz w:val="28"/>
          <w:szCs w:val="28"/>
        </w:rPr>
        <w:t>Anti-Müllerian hormone (AMH) levels</w:t>
      </w:r>
    </w:p>
    <w:p w14:paraId="4836F788" w14:textId="77777777" w:rsidR="00AE7166" w:rsidRPr="001C1672" w:rsidRDefault="00AE7166" w:rsidP="00107C9C">
      <w:pPr>
        <w:pStyle w:val="NormalWeb"/>
        <w:numPr>
          <w:ilvl w:val="0"/>
          <w:numId w:val="23"/>
        </w:numPr>
        <w:spacing w:line="360" w:lineRule="auto"/>
        <w:jc w:val="both"/>
        <w:rPr>
          <w:rFonts w:asciiTheme="majorBidi" w:hAnsiTheme="majorBidi" w:cstheme="majorBidi"/>
          <w:sz w:val="28"/>
          <w:szCs w:val="28"/>
        </w:rPr>
      </w:pPr>
      <w:r w:rsidRPr="001C1672">
        <w:rPr>
          <w:rFonts w:asciiTheme="majorBidi" w:hAnsiTheme="majorBidi" w:cstheme="majorBidi"/>
          <w:sz w:val="28"/>
          <w:szCs w:val="28"/>
        </w:rPr>
        <w:t>Antral follicle count (AFC)</w:t>
      </w:r>
    </w:p>
    <w:p w14:paraId="7FC307B3" w14:textId="77777777" w:rsidR="00AE7166" w:rsidRPr="001C1672" w:rsidRDefault="00AE7166" w:rsidP="00107C9C">
      <w:pPr>
        <w:pStyle w:val="NormalWeb"/>
        <w:numPr>
          <w:ilvl w:val="0"/>
          <w:numId w:val="23"/>
        </w:numPr>
        <w:spacing w:line="360" w:lineRule="auto"/>
        <w:jc w:val="both"/>
        <w:rPr>
          <w:rFonts w:asciiTheme="majorBidi" w:hAnsiTheme="majorBidi" w:cstheme="majorBidi"/>
          <w:sz w:val="28"/>
          <w:szCs w:val="28"/>
        </w:rPr>
      </w:pPr>
      <w:r w:rsidRPr="001C1672">
        <w:rPr>
          <w:rFonts w:asciiTheme="majorBidi" w:hAnsiTheme="majorBidi" w:cstheme="majorBidi"/>
          <w:sz w:val="28"/>
          <w:szCs w:val="28"/>
        </w:rPr>
        <w:t>Gonadotropin dosage</w:t>
      </w:r>
    </w:p>
    <w:p w14:paraId="780B626C" w14:textId="77777777" w:rsidR="00AE7166" w:rsidRPr="001C1672" w:rsidRDefault="00AE7166" w:rsidP="00107C9C">
      <w:pPr>
        <w:pStyle w:val="NormalWeb"/>
        <w:numPr>
          <w:ilvl w:val="0"/>
          <w:numId w:val="23"/>
        </w:numPr>
        <w:spacing w:line="360" w:lineRule="auto"/>
        <w:jc w:val="both"/>
        <w:rPr>
          <w:rFonts w:asciiTheme="majorBidi" w:hAnsiTheme="majorBidi" w:cstheme="majorBidi"/>
          <w:sz w:val="28"/>
          <w:szCs w:val="28"/>
        </w:rPr>
      </w:pPr>
      <w:r w:rsidRPr="001C1672">
        <w:rPr>
          <w:rFonts w:asciiTheme="majorBidi" w:hAnsiTheme="majorBidi" w:cstheme="majorBidi"/>
          <w:sz w:val="28"/>
          <w:szCs w:val="28"/>
        </w:rPr>
        <w:t>Number of follicles</w:t>
      </w:r>
    </w:p>
    <w:p w14:paraId="67CBC7F0" w14:textId="77777777" w:rsidR="00AE7166" w:rsidRPr="001C1672" w:rsidRDefault="00AE7166" w:rsidP="00107C9C">
      <w:pPr>
        <w:pStyle w:val="NormalWeb"/>
        <w:numPr>
          <w:ilvl w:val="0"/>
          <w:numId w:val="23"/>
        </w:numPr>
        <w:spacing w:line="360" w:lineRule="auto"/>
        <w:jc w:val="both"/>
        <w:rPr>
          <w:rFonts w:asciiTheme="majorBidi" w:hAnsiTheme="majorBidi" w:cstheme="majorBidi"/>
          <w:sz w:val="28"/>
          <w:szCs w:val="28"/>
        </w:rPr>
      </w:pPr>
      <w:r w:rsidRPr="001C1672">
        <w:rPr>
          <w:rFonts w:asciiTheme="majorBidi" w:hAnsiTheme="majorBidi" w:cstheme="majorBidi"/>
          <w:sz w:val="28"/>
          <w:szCs w:val="28"/>
        </w:rPr>
        <w:t>Size of the leading follicle</w:t>
      </w:r>
    </w:p>
    <w:p w14:paraId="0FC22206" w14:textId="77777777" w:rsidR="00AE7166" w:rsidRPr="001C1672" w:rsidRDefault="00AE7166" w:rsidP="00107C9C">
      <w:pPr>
        <w:pStyle w:val="NormalWeb"/>
        <w:numPr>
          <w:ilvl w:val="0"/>
          <w:numId w:val="23"/>
        </w:numPr>
        <w:spacing w:line="360" w:lineRule="auto"/>
        <w:jc w:val="both"/>
        <w:rPr>
          <w:rFonts w:asciiTheme="majorBidi" w:hAnsiTheme="majorBidi" w:cstheme="majorBidi"/>
          <w:sz w:val="28"/>
          <w:szCs w:val="28"/>
        </w:rPr>
      </w:pPr>
      <w:r w:rsidRPr="001C1672">
        <w:rPr>
          <w:rFonts w:asciiTheme="majorBidi" w:hAnsiTheme="majorBidi" w:cstheme="majorBidi"/>
          <w:sz w:val="28"/>
          <w:szCs w:val="28"/>
        </w:rPr>
        <w:t>Duration of ovarian stimulation</w:t>
      </w:r>
    </w:p>
    <w:p w14:paraId="259FFFDF" w14:textId="77777777" w:rsidR="00AE7166" w:rsidRPr="001C1672" w:rsidRDefault="00AE7166" w:rsidP="00107C9C">
      <w:pPr>
        <w:pStyle w:val="NormalWeb"/>
        <w:numPr>
          <w:ilvl w:val="0"/>
          <w:numId w:val="23"/>
        </w:numPr>
        <w:spacing w:line="360" w:lineRule="auto"/>
        <w:jc w:val="both"/>
        <w:rPr>
          <w:rFonts w:asciiTheme="majorBidi" w:hAnsiTheme="majorBidi" w:cstheme="majorBidi"/>
          <w:sz w:val="28"/>
          <w:szCs w:val="28"/>
        </w:rPr>
      </w:pPr>
      <w:r w:rsidRPr="001C1672">
        <w:rPr>
          <w:rFonts w:asciiTheme="majorBidi" w:hAnsiTheme="majorBidi" w:cstheme="majorBidi"/>
          <w:sz w:val="28"/>
          <w:szCs w:val="28"/>
        </w:rPr>
        <w:t>Estradiol levels</w:t>
      </w:r>
    </w:p>
    <w:p w14:paraId="0627D0A0" w14:textId="77777777" w:rsidR="00AE7166" w:rsidRPr="001C1672" w:rsidRDefault="00AE7166" w:rsidP="00107C9C">
      <w:pPr>
        <w:pStyle w:val="NormalWeb"/>
        <w:numPr>
          <w:ilvl w:val="0"/>
          <w:numId w:val="23"/>
        </w:numPr>
        <w:spacing w:line="360" w:lineRule="auto"/>
        <w:jc w:val="both"/>
        <w:rPr>
          <w:rFonts w:asciiTheme="majorBidi" w:hAnsiTheme="majorBidi" w:cstheme="majorBidi"/>
          <w:sz w:val="28"/>
          <w:szCs w:val="28"/>
        </w:rPr>
      </w:pPr>
      <w:r w:rsidRPr="001C1672">
        <w:rPr>
          <w:rFonts w:asciiTheme="majorBidi" w:hAnsiTheme="majorBidi" w:cstheme="majorBidi"/>
          <w:sz w:val="28"/>
          <w:szCs w:val="28"/>
        </w:rPr>
        <w:t>Progesterone levels</w:t>
      </w:r>
    </w:p>
    <w:p w14:paraId="4BE15C2D" w14:textId="77777777" w:rsidR="00107C9C" w:rsidRPr="001C1672" w:rsidRDefault="00AE7166" w:rsidP="000D0081">
      <w:pPr>
        <w:pStyle w:val="NormalWeb"/>
        <w:spacing w:line="360" w:lineRule="auto"/>
        <w:rPr>
          <w:rFonts w:asciiTheme="majorBidi" w:hAnsiTheme="majorBidi" w:cstheme="majorBidi"/>
          <w:b/>
          <w:bCs/>
          <w:sz w:val="28"/>
          <w:szCs w:val="28"/>
        </w:rPr>
      </w:pPr>
      <w:r w:rsidRPr="001C1672">
        <w:rPr>
          <w:rFonts w:asciiTheme="majorBidi" w:hAnsiTheme="majorBidi" w:cstheme="majorBidi"/>
          <w:b/>
          <w:bCs/>
          <w:sz w:val="28"/>
          <w:szCs w:val="28"/>
        </w:rPr>
        <w:t>Model Outputs</w:t>
      </w:r>
    </w:p>
    <w:p w14:paraId="407B4FF5" w14:textId="1F99FBDF" w:rsidR="00AE7166" w:rsidRPr="001C1672" w:rsidRDefault="00AE7166" w:rsidP="00107C9C">
      <w:pPr>
        <w:pStyle w:val="NormalWeb"/>
        <w:spacing w:line="360" w:lineRule="auto"/>
        <w:jc w:val="both"/>
        <w:rPr>
          <w:rFonts w:asciiTheme="majorBidi" w:hAnsiTheme="majorBidi" w:cstheme="majorBidi"/>
          <w:sz w:val="28"/>
          <w:szCs w:val="28"/>
        </w:rPr>
      </w:pPr>
      <w:r w:rsidRPr="001C1672">
        <w:rPr>
          <w:rFonts w:asciiTheme="majorBidi" w:hAnsiTheme="majorBidi" w:cstheme="majorBidi"/>
          <w:sz w:val="28"/>
          <w:szCs w:val="28"/>
        </w:rPr>
        <w:t>The primary output of the predictive model was the estimated optimal day for ovulation trigger administration, aimed at maximizing the total oocyte yield and the number of mature MII oocytes retrieved.</w:t>
      </w:r>
    </w:p>
    <w:p w14:paraId="1A215CB3" w14:textId="77777777" w:rsidR="00107C9C" w:rsidRPr="001C1672" w:rsidRDefault="00AE7166" w:rsidP="000D0081">
      <w:pPr>
        <w:pStyle w:val="NormalWeb"/>
        <w:spacing w:line="360" w:lineRule="auto"/>
        <w:rPr>
          <w:rFonts w:asciiTheme="majorBidi" w:hAnsiTheme="majorBidi" w:cstheme="majorBidi"/>
          <w:b/>
          <w:bCs/>
          <w:sz w:val="28"/>
          <w:szCs w:val="28"/>
        </w:rPr>
      </w:pPr>
      <w:r w:rsidRPr="001C1672">
        <w:rPr>
          <w:rFonts w:asciiTheme="majorBidi" w:hAnsiTheme="majorBidi" w:cstheme="majorBidi"/>
          <w:b/>
          <w:bCs/>
          <w:sz w:val="28"/>
          <w:szCs w:val="28"/>
        </w:rPr>
        <w:t>Model Evaluation</w:t>
      </w:r>
    </w:p>
    <w:p w14:paraId="2D7ECC6C" w14:textId="0CEE0A2F" w:rsidR="00AE7166" w:rsidRPr="001C1672" w:rsidRDefault="00AE7166" w:rsidP="00107C9C">
      <w:pPr>
        <w:pStyle w:val="NormalWeb"/>
        <w:spacing w:line="360" w:lineRule="auto"/>
        <w:jc w:val="both"/>
        <w:rPr>
          <w:rFonts w:asciiTheme="majorBidi" w:hAnsiTheme="majorBidi" w:cstheme="majorBidi"/>
          <w:sz w:val="28"/>
          <w:szCs w:val="28"/>
        </w:rPr>
      </w:pPr>
      <w:r w:rsidRPr="001C1672">
        <w:rPr>
          <w:rFonts w:asciiTheme="majorBidi" w:hAnsiTheme="majorBidi" w:cstheme="majorBidi"/>
          <w:sz w:val="28"/>
          <w:szCs w:val="28"/>
        </w:rPr>
        <w:t>The performance of the predictive model was evaluated through a series of theoretical scenarios, given the absence of real-world patient data. Model evaluation was based on a range of performance metrics, including accuracy, precision, recall, F1 score, and area under the curve (AUC). These metrics were employed to assess the model's ability to accurately predict the optimal day for ovulation trigger administration, in relation to the outcomes of controlled ovarian stimulation.</w:t>
      </w:r>
    </w:p>
    <w:p w14:paraId="3ADAE69C" w14:textId="77777777" w:rsidR="00107C9C" w:rsidRPr="001C1672" w:rsidRDefault="00AE7166" w:rsidP="000D0081">
      <w:pPr>
        <w:pStyle w:val="NormalWeb"/>
        <w:spacing w:line="360" w:lineRule="auto"/>
        <w:rPr>
          <w:rFonts w:asciiTheme="majorBidi" w:hAnsiTheme="majorBidi" w:cstheme="majorBidi"/>
          <w:b/>
          <w:bCs/>
          <w:sz w:val="28"/>
          <w:szCs w:val="28"/>
        </w:rPr>
      </w:pPr>
      <w:r w:rsidRPr="001C1672">
        <w:rPr>
          <w:rFonts w:asciiTheme="majorBidi" w:hAnsiTheme="majorBidi" w:cstheme="majorBidi"/>
          <w:b/>
          <w:bCs/>
          <w:sz w:val="28"/>
          <w:szCs w:val="28"/>
        </w:rPr>
        <w:lastRenderedPageBreak/>
        <w:t>Statistical Analysis</w:t>
      </w:r>
    </w:p>
    <w:p w14:paraId="7475145D" w14:textId="7ACDC031" w:rsidR="00AE7166" w:rsidRPr="001C1672" w:rsidRDefault="00AE7166" w:rsidP="00107C9C">
      <w:pPr>
        <w:pStyle w:val="NormalWeb"/>
        <w:spacing w:line="360" w:lineRule="auto"/>
        <w:jc w:val="both"/>
        <w:rPr>
          <w:rFonts w:asciiTheme="majorBidi" w:hAnsiTheme="majorBidi" w:cstheme="majorBidi"/>
          <w:sz w:val="28"/>
          <w:szCs w:val="28"/>
        </w:rPr>
      </w:pPr>
      <w:r w:rsidRPr="001C1672">
        <w:rPr>
          <w:rFonts w:asciiTheme="majorBidi" w:hAnsiTheme="majorBidi" w:cstheme="majorBidi"/>
          <w:sz w:val="28"/>
          <w:szCs w:val="28"/>
        </w:rPr>
        <w:t>No statistical analysis was conducted, as the model was developed using a theoretical framework and was not tested on actual patient data. Consequently, the model's evaluation is based on hypothetical data derived from simulated scenarios.</w:t>
      </w:r>
    </w:p>
    <w:p w14:paraId="06A4C8F2" w14:textId="77777777" w:rsidR="00107C9C" w:rsidRPr="001C1672" w:rsidRDefault="00AE7166" w:rsidP="000D0081">
      <w:pPr>
        <w:pStyle w:val="NormalWeb"/>
        <w:spacing w:line="360" w:lineRule="auto"/>
        <w:rPr>
          <w:rFonts w:asciiTheme="majorBidi" w:hAnsiTheme="majorBidi" w:cstheme="majorBidi"/>
          <w:b/>
          <w:bCs/>
          <w:sz w:val="28"/>
          <w:szCs w:val="28"/>
        </w:rPr>
      </w:pPr>
      <w:r w:rsidRPr="001C1672">
        <w:rPr>
          <w:rFonts w:asciiTheme="majorBidi" w:hAnsiTheme="majorBidi" w:cstheme="majorBidi"/>
          <w:b/>
          <w:bCs/>
          <w:sz w:val="28"/>
          <w:szCs w:val="28"/>
        </w:rPr>
        <w:t>Model Evaluation Results</w:t>
      </w:r>
    </w:p>
    <w:p w14:paraId="4A9B186A" w14:textId="7ABD9785" w:rsidR="00AE7166" w:rsidRPr="001C1672" w:rsidRDefault="00AE7166" w:rsidP="00107C9C">
      <w:pPr>
        <w:pStyle w:val="NormalWeb"/>
        <w:spacing w:line="360" w:lineRule="auto"/>
        <w:jc w:val="both"/>
        <w:rPr>
          <w:rFonts w:asciiTheme="majorBidi" w:hAnsiTheme="majorBidi" w:cstheme="majorBidi"/>
          <w:sz w:val="28"/>
          <w:szCs w:val="28"/>
        </w:rPr>
      </w:pPr>
      <w:r w:rsidRPr="001C1672">
        <w:rPr>
          <w:rFonts w:asciiTheme="majorBidi" w:hAnsiTheme="majorBidi" w:cstheme="majorBidi"/>
          <w:sz w:val="28"/>
          <w:szCs w:val="28"/>
        </w:rPr>
        <w:t>The model's performance was assessed using theoretical scenarios, with the following results presented for key evaluation metrics:</w:t>
      </w:r>
    </w:p>
    <w:p w14:paraId="33F0EB25" w14:textId="3F4D3C3C" w:rsidR="00110761" w:rsidRPr="001C1672" w:rsidRDefault="00110761" w:rsidP="00107C9C">
      <w:pPr>
        <w:pStyle w:val="NormalWeb"/>
        <w:spacing w:line="360" w:lineRule="auto"/>
        <w:jc w:val="center"/>
        <w:rPr>
          <w:rFonts w:asciiTheme="majorBidi" w:hAnsiTheme="majorBidi" w:cstheme="majorBidi"/>
          <w:sz w:val="28"/>
          <w:szCs w:val="28"/>
        </w:rPr>
      </w:pPr>
      <w:r w:rsidRPr="001C1672">
        <w:rPr>
          <w:rFonts w:asciiTheme="majorBidi" w:hAnsiTheme="majorBidi" w:cstheme="majorBidi"/>
          <w:noProof/>
          <w:sz w:val="28"/>
          <w:szCs w:val="28"/>
        </w:rPr>
        <w:drawing>
          <wp:inline distT="0" distB="0" distL="0" distR="0" wp14:anchorId="110CACDB" wp14:editId="25AAC62A">
            <wp:extent cx="5943600" cy="1623695"/>
            <wp:effectExtent l="0" t="0" r="0" b="0"/>
            <wp:docPr id="682407836"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407836" name="Picture 1" descr="A screenshot of a graph&#10;&#10;AI-generated content may be incorrect."/>
                    <pic:cNvPicPr/>
                  </pic:nvPicPr>
                  <pic:blipFill>
                    <a:blip r:embed="rId7"/>
                    <a:stretch>
                      <a:fillRect/>
                    </a:stretch>
                  </pic:blipFill>
                  <pic:spPr>
                    <a:xfrm>
                      <a:off x="0" y="0"/>
                      <a:ext cx="5943600" cy="1623695"/>
                    </a:xfrm>
                    <a:prstGeom prst="rect">
                      <a:avLst/>
                    </a:prstGeom>
                  </pic:spPr>
                </pic:pic>
              </a:graphicData>
            </a:graphic>
          </wp:inline>
        </w:drawing>
      </w:r>
    </w:p>
    <w:p w14:paraId="4EC914D3" w14:textId="77777777" w:rsidR="00AE7166" w:rsidRPr="001C1672" w:rsidRDefault="00AE7166" w:rsidP="00107C9C">
      <w:pPr>
        <w:pStyle w:val="NormalWeb"/>
        <w:spacing w:line="360" w:lineRule="auto"/>
        <w:jc w:val="both"/>
        <w:rPr>
          <w:rFonts w:asciiTheme="majorBidi" w:hAnsiTheme="majorBidi" w:cstheme="majorBidi"/>
          <w:sz w:val="28"/>
          <w:szCs w:val="28"/>
        </w:rPr>
      </w:pPr>
      <w:r w:rsidRPr="001C1672">
        <w:rPr>
          <w:rFonts w:asciiTheme="majorBidi" w:hAnsiTheme="majorBidi" w:cstheme="majorBidi"/>
          <w:sz w:val="28"/>
          <w:szCs w:val="28"/>
        </w:rPr>
        <w:t>It is important to note that these results are hypothetical and are based on theoretical scenarios, as the model has not been validated with real-world patient data.</w:t>
      </w:r>
    </w:p>
    <w:p w14:paraId="1330CA48" w14:textId="77777777" w:rsidR="00AE7166" w:rsidRPr="001C1672" w:rsidRDefault="00AE7166" w:rsidP="000D0081">
      <w:pPr>
        <w:pStyle w:val="NormalWeb"/>
        <w:spacing w:line="360" w:lineRule="auto"/>
        <w:rPr>
          <w:rFonts w:asciiTheme="majorBidi" w:hAnsiTheme="majorBidi" w:cstheme="majorBidi"/>
          <w:sz w:val="28"/>
          <w:szCs w:val="28"/>
        </w:rPr>
      </w:pPr>
      <w:r w:rsidRPr="001C1672">
        <w:rPr>
          <w:rFonts w:asciiTheme="majorBidi" w:hAnsiTheme="majorBidi" w:cstheme="majorBidi"/>
          <w:b/>
          <w:bCs/>
          <w:sz w:val="28"/>
          <w:szCs w:val="28"/>
        </w:rPr>
        <w:t>Evaluation Metrics</w:t>
      </w:r>
    </w:p>
    <w:p w14:paraId="51CCE7A6" w14:textId="70BF836B" w:rsidR="00AE7166" w:rsidRPr="001C1672" w:rsidRDefault="00110761" w:rsidP="00107C9C">
      <w:pPr>
        <w:pStyle w:val="NormalWeb"/>
        <w:spacing w:line="360" w:lineRule="auto"/>
        <w:jc w:val="both"/>
        <w:rPr>
          <w:rFonts w:asciiTheme="majorBidi" w:hAnsiTheme="majorBidi" w:cstheme="majorBidi"/>
          <w:sz w:val="28"/>
          <w:szCs w:val="28"/>
        </w:rPr>
      </w:pPr>
      <w:r w:rsidRPr="001C1672">
        <w:rPr>
          <w:rFonts w:asciiTheme="majorBidi" w:hAnsiTheme="majorBidi" w:cstheme="majorBidi"/>
          <w:noProof/>
          <w:sz w:val="28"/>
          <w:szCs w:val="28"/>
        </w:rPr>
        <w:drawing>
          <wp:anchor distT="0" distB="0" distL="114300" distR="114300" simplePos="0" relativeHeight="251658240" behindDoc="0" locked="0" layoutInCell="1" allowOverlap="1" wp14:anchorId="0353DC94" wp14:editId="702D0F87">
            <wp:simplePos x="0" y="0"/>
            <wp:positionH relativeFrom="margin">
              <wp:align>center</wp:align>
            </wp:positionH>
            <wp:positionV relativeFrom="paragraph">
              <wp:posOffset>597535</wp:posOffset>
            </wp:positionV>
            <wp:extent cx="2979419" cy="731520"/>
            <wp:effectExtent l="0" t="0" r="0" b="0"/>
            <wp:wrapTopAndBottom/>
            <wp:docPr id="2042165426" name="Picture 1" descr="A black text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165426" name="Picture 1" descr="A black text with a white backgroun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979419" cy="731520"/>
                    </a:xfrm>
                    <a:prstGeom prst="rect">
                      <a:avLst/>
                    </a:prstGeom>
                  </pic:spPr>
                </pic:pic>
              </a:graphicData>
            </a:graphic>
            <wp14:sizeRelH relativeFrom="page">
              <wp14:pctWidth>0</wp14:pctWidth>
            </wp14:sizeRelH>
            <wp14:sizeRelV relativeFrom="page">
              <wp14:pctHeight>0</wp14:pctHeight>
            </wp14:sizeRelV>
          </wp:anchor>
        </w:drawing>
      </w:r>
      <w:r w:rsidR="00AE7166" w:rsidRPr="001C1672">
        <w:rPr>
          <w:rFonts w:asciiTheme="majorBidi" w:hAnsiTheme="majorBidi" w:cstheme="majorBidi"/>
          <w:b/>
          <w:bCs/>
          <w:sz w:val="28"/>
          <w:szCs w:val="28"/>
        </w:rPr>
        <w:t>Accuracy</w:t>
      </w:r>
      <w:r w:rsidR="00AE7166" w:rsidRPr="001C1672">
        <w:rPr>
          <w:rFonts w:asciiTheme="majorBidi" w:hAnsiTheme="majorBidi" w:cstheme="majorBidi"/>
          <w:sz w:val="28"/>
          <w:szCs w:val="28"/>
        </w:rPr>
        <w:t>: Accuracy represents the proportion of correct predictions made by the model, and is calculated as:</w:t>
      </w:r>
    </w:p>
    <w:p w14:paraId="71B93871" w14:textId="77777777" w:rsidR="00487E99" w:rsidRPr="001C1672" w:rsidRDefault="00487E99" w:rsidP="000D0081">
      <w:pPr>
        <w:bidi w:val="0"/>
        <w:spacing w:line="360" w:lineRule="auto"/>
        <w:rPr>
          <w:rFonts w:asciiTheme="majorBidi" w:eastAsia="Times New Roman" w:hAnsiTheme="majorBidi" w:cstheme="majorBidi"/>
          <w:sz w:val="28"/>
          <w:szCs w:val="28"/>
        </w:rPr>
      </w:pPr>
      <w:r w:rsidRPr="001C1672">
        <w:rPr>
          <w:rFonts w:asciiTheme="majorBidi" w:hAnsiTheme="majorBidi" w:cstheme="majorBidi"/>
          <w:sz w:val="28"/>
          <w:szCs w:val="28"/>
        </w:rPr>
        <w:br w:type="page"/>
      </w:r>
    </w:p>
    <w:p w14:paraId="6C16FF5E" w14:textId="0073B37B" w:rsidR="00AE7166" w:rsidRPr="001C1672" w:rsidRDefault="00AE7166" w:rsidP="00107C9C">
      <w:pPr>
        <w:pStyle w:val="NormalWeb"/>
        <w:spacing w:line="360" w:lineRule="auto"/>
        <w:jc w:val="both"/>
        <w:rPr>
          <w:rFonts w:asciiTheme="majorBidi" w:hAnsiTheme="majorBidi" w:cstheme="majorBidi"/>
          <w:sz w:val="28"/>
          <w:szCs w:val="28"/>
        </w:rPr>
      </w:pPr>
      <w:r w:rsidRPr="001C1672">
        <w:rPr>
          <w:rFonts w:asciiTheme="majorBidi" w:hAnsiTheme="majorBidi" w:cstheme="majorBidi"/>
          <w:sz w:val="28"/>
          <w:szCs w:val="28"/>
        </w:rPr>
        <w:lastRenderedPageBreak/>
        <w:t>where:</w:t>
      </w:r>
    </w:p>
    <w:p w14:paraId="494FAF76" w14:textId="77777777" w:rsidR="00AE7166" w:rsidRPr="001C1672" w:rsidRDefault="00AE7166" w:rsidP="00107C9C">
      <w:pPr>
        <w:pStyle w:val="NormalWeb"/>
        <w:numPr>
          <w:ilvl w:val="1"/>
          <w:numId w:val="24"/>
        </w:numPr>
        <w:spacing w:line="360" w:lineRule="auto"/>
        <w:jc w:val="both"/>
        <w:rPr>
          <w:rFonts w:asciiTheme="majorBidi" w:hAnsiTheme="majorBidi" w:cstheme="majorBidi"/>
          <w:sz w:val="28"/>
          <w:szCs w:val="28"/>
        </w:rPr>
      </w:pPr>
      <w:r w:rsidRPr="001C1672">
        <w:rPr>
          <w:rFonts w:asciiTheme="majorBidi" w:hAnsiTheme="majorBidi" w:cstheme="majorBidi"/>
          <w:sz w:val="28"/>
          <w:szCs w:val="28"/>
        </w:rPr>
        <w:t>TP = True Positives (correctly predicted optimal trigger day)</w:t>
      </w:r>
    </w:p>
    <w:p w14:paraId="110B1484" w14:textId="77777777" w:rsidR="00AE7166" w:rsidRPr="001C1672" w:rsidRDefault="00AE7166" w:rsidP="00107C9C">
      <w:pPr>
        <w:pStyle w:val="NormalWeb"/>
        <w:numPr>
          <w:ilvl w:val="1"/>
          <w:numId w:val="24"/>
        </w:numPr>
        <w:spacing w:line="360" w:lineRule="auto"/>
        <w:jc w:val="both"/>
        <w:rPr>
          <w:rFonts w:asciiTheme="majorBidi" w:hAnsiTheme="majorBidi" w:cstheme="majorBidi"/>
          <w:sz w:val="28"/>
          <w:szCs w:val="28"/>
        </w:rPr>
      </w:pPr>
      <w:r w:rsidRPr="001C1672">
        <w:rPr>
          <w:rFonts w:asciiTheme="majorBidi" w:hAnsiTheme="majorBidi" w:cstheme="majorBidi"/>
          <w:sz w:val="28"/>
          <w:szCs w:val="28"/>
        </w:rPr>
        <w:t>TN = True Negatives (correctly predicted non-optimal trigger day)</w:t>
      </w:r>
    </w:p>
    <w:p w14:paraId="711ECCD7" w14:textId="77777777" w:rsidR="00AE7166" w:rsidRPr="001C1672" w:rsidRDefault="00AE7166" w:rsidP="00107C9C">
      <w:pPr>
        <w:pStyle w:val="NormalWeb"/>
        <w:numPr>
          <w:ilvl w:val="1"/>
          <w:numId w:val="24"/>
        </w:numPr>
        <w:spacing w:line="360" w:lineRule="auto"/>
        <w:jc w:val="both"/>
        <w:rPr>
          <w:rFonts w:asciiTheme="majorBidi" w:hAnsiTheme="majorBidi" w:cstheme="majorBidi"/>
          <w:sz w:val="28"/>
          <w:szCs w:val="28"/>
        </w:rPr>
      </w:pPr>
      <w:r w:rsidRPr="001C1672">
        <w:rPr>
          <w:rFonts w:asciiTheme="majorBidi" w:hAnsiTheme="majorBidi" w:cstheme="majorBidi"/>
          <w:sz w:val="28"/>
          <w:szCs w:val="28"/>
        </w:rPr>
        <w:t>FP = False Positives (incorrectly predicted optimal trigger day)</w:t>
      </w:r>
    </w:p>
    <w:p w14:paraId="45A5397C" w14:textId="77777777" w:rsidR="00AE7166" w:rsidRPr="001C1672" w:rsidRDefault="00AE7166" w:rsidP="00107C9C">
      <w:pPr>
        <w:pStyle w:val="NormalWeb"/>
        <w:numPr>
          <w:ilvl w:val="1"/>
          <w:numId w:val="24"/>
        </w:numPr>
        <w:spacing w:line="360" w:lineRule="auto"/>
        <w:jc w:val="both"/>
        <w:rPr>
          <w:rFonts w:asciiTheme="majorBidi" w:hAnsiTheme="majorBidi" w:cstheme="majorBidi"/>
          <w:sz w:val="28"/>
          <w:szCs w:val="28"/>
        </w:rPr>
      </w:pPr>
      <w:r w:rsidRPr="001C1672">
        <w:rPr>
          <w:rFonts w:asciiTheme="majorBidi" w:hAnsiTheme="majorBidi" w:cstheme="majorBidi"/>
          <w:sz w:val="28"/>
          <w:szCs w:val="28"/>
        </w:rPr>
        <w:t>FN = False Negatives (incorrectly predicted non-optimal trigger day)</w:t>
      </w:r>
    </w:p>
    <w:p w14:paraId="6E9B1ABE" w14:textId="29A76B95" w:rsidR="00AE7166" w:rsidRPr="001C1672" w:rsidRDefault="00FA0E34" w:rsidP="00107C9C">
      <w:pPr>
        <w:pStyle w:val="NormalWeb"/>
        <w:spacing w:line="360" w:lineRule="auto"/>
        <w:jc w:val="both"/>
        <w:rPr>
          <w:rFonts w:asciiTheme="majorBidi" w:hAnsiTheme="majorBidi" w:cstheme="majorBidi"/>
          <w:sz w:val="28"/>
          <w:szCs w:val="28"/>
        </w:rPr>
      </w:pPr>
      <w:r w:rsidRPr="001C1672">
        <w:rPr>
          <w:rFonts w:asciiTheme="majorBidi" w:hAnsiTheme="majorBidi" w:cstheme="majorBidi"/>
          <w:noProof/>
          <w:sz w:val="28"/>
          <w:szCs w:val="28"/>
        </w:rPr>
        <w:drawing>
          <wp:anchor distT="0" distB="0" distL="114300" distR="114300" simplePos="0" relativeHeight="251659264" behindDoc="0" locked="0" layoutInCell="1" allowOverlap="1" wp14:anchorId="1600955C" wp14:editId="1538135A">
            <wp:simplePos x="0" y="0"/>
            <wp:positionH relativeFrom="margin">
              <wp:align>center</wp:align>
            </wp:positionH>
            <wp:positionV relativeFrom="paragraph">
              <wp:posOffset>624840</wp:posOffset>
            </wp:positionV>
            <wp:extent cx="1793116" cy="548640"/>
            <wp:effectExtent l="0" t="0" r="0" b="3810"/>
            <wp:wrapTopAndBottom/>
            <wp:docPr id="856748014"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748014" name="Picture 1" descr="A black text on a white background&#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793116" cy="548640"/>
                    </a:xfrm>
                    <a:prstGeom prst="rect">
                      <a:avLst/>
                    </a:prstGeom>
                  </pic:spPr>
                </pic:pic>
              </a:graphicData>
            </a:graphic>
            <wp14:sizeRelH relativeFrom="margin">
              <wp14:pctWidth>0</wp14:pctWidth>
            </wp14:sizeRelH>
            <wp14:sizeRelV relativeFrom="margin">
              <wp14:pctHeight>0</wp14:pctHeight>
            </wp14:sizeRelV>
          </wp:anchor>
        </w:drawing>
      </w:r>
      <w:r w:rsidR="00AE7166" w:rsidRPr="001C1672">
        <w:rPr>
          <w:rFonts w:asciiTheme="majorBidi" w:hAnsiTheme="majorBidi" w:cstheme="majorBidi"/>
          <w:b/>
          <w:bCs/>
          <w:sz w:val="28"/>
          <w:szCs w:val="28"/>
        </w:rPr>
        <w:t>Precision</w:t>
      </w:r>
      <w:r w:rsidR="00AE7166" w:rsidRPr="001C1672">
        <w:rPr>
          <w:rFonts w:asciiTheme="majorBidi" w:hAnsiTheme="majorBidi" w:cstheme="majorBidi"/>
          <w:sz w:val="28"/>
          <w:szCs w:val="28"/>
        </w:rPr>
        <w:t>: Precision measures the proportion of true positives out of all positive predictions, and is calculated as:</w:t>
      </w:r>
    </w:p>
    <w:p w14:paraId="7F3F4D09" w14:textId="2042C49A" w:rsidR="00110761" w:rsidRPr="001C1672" w:rsidRDefault="00110761" w:rsidP="000D0081">
      <w:pPr>
        <w:pStyle w:val="NormalWeb"/>
        <w:spacing w:line="360" w:lineRule="auto"/>
        <w:rPr>
          <w:rFonts w:asciiTheme="majorBidi" w:hAnsiTheme="majorBidi" w:cstheme="majorBidi"/>
          <w:b/>
          <w:bCs/>
          <w:sz w:val="28"/>
          <w:szCs w:val="28"/>
        </w:rPr>
      </w:pPr>
    </w:p>
    <w:p w14:paraId="5EF0DA71" w14:textId="088CE53B" w:rsidR="00AE7166" w:rsidRPr="001C1672" w:rsidRDefault="00110761" w:rsidP="00107C9C">
      <w:pPr>
        <w:pStyle w:val="NormalWeb"/>
        <w:spacing w:line="360" w:lineRule="auto"/>
        <w:jc w:val="both"/>
        <w:rPr>
          <w:rFonts w:asciiTheme="majorBidi" w:hAnsiTheme="majorBidi" w:cstheme="majorBidi"/>
          <w:sz w:val="28"/>
          <w:szCs w:val="28"/>
        </w:rPr>
      </w:pPr>
      <w:r w:rsidRPr="001C1672">
        <w:rPr>
          <w:rFonts w:asciiTheme="majorBidi" w:hAnsiTheme="majorBidi" w:cstheme="majorBidi"/>
          <w:noProof/>
          <w:sz w:val="28"/>
          <w:szCs w:val="28"/>
        </w:rPr>
        <w:drawing>
          <wp:anchor distT="0" distB="0" distL="114300" distR="114300" simplePos="0" relativeHeight="251660288" behindDoc="0" locked="0" layoutInCell="1" allowOverlap="1" wp14:anchorId="1941E92F" wp14:editId="4DD8E520">
            <wp:simplePos x="0" y="0"/>
            <wp:positionH relativeFrom="margin">
              <wp:align>center</wp:align>
            </wp:positionH>
            <wp:positionV relativeFrom="paragraph">
              <wp:posOffset>647065</wp:posOffset>
            </wp:positionV>
            <wp:extent cx="1660952" cy="548640"/>
            <wp:effectExtent l="0" t="0" r="0" b="3810"/>
            <wp:wrapTopAndBottom/>
            <wp:docPr id="18001739" name="Picture 1" descr="A math equatio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739" name="Picture 1" descr="A math equation with black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660952" cy="548640"/>
                    </a:xfrm>
                    <a:prstGeom prst="rect">
                      <a:avLst/>
                    </a:prstGeom>
                  </pic:spPr>
                </pic:pic>
              </a:graphicData>
            </a:graphic>
            <wp14:sizeRelH relativeFrom="margin">
              <wp14:pctWidth>0</wp14:pctWidth>
            </wp14:sizeRelH>
            <wp14:sizeRelV relativeFrom="margin">
              <wp14:pctHeight>0</wp14:pctHeight>
            </wp14:sizeRelV>
          </wp:anchor>
        </w:drawing>
      </w:r>
      <w:r w:rsidR="00AE7166" w:rsidRPr="001C1672">
        <w:rPr>
          <w:rFonts w:asciiTheme="majorBidi" w:hAnsiTheme="majorBidi" w:cstheme="majorBidi"/>
          <w:b/>
          <w:bCs/>
          <w:sz w:val="28"/>
          <w:szCs w:val="28"/>
        </w:rPr>
        <w:t>Recall</w:t>
      </w:r>
      <w:r w:rsidR="00AE7166" w:rsidRPr="001C1672">
        <w:rPr>
          <w:rFonts w:asciiTheme="majorBidi" w:hAnsiTheme="majorBidi" w:cstheme="majorBidi"/>
          <w:sz w:val="28"/>
          <w:szCs w:val="28"/>
        </w:rPr>
        <w:t>: Recall evaluates the proportion of true positives out of all actual optimal trigger days, and is calculated as:</w:t>
      </w:r>
    </w:p>
    <w:p w14:paraId="6B4A177B" w14:textId="3822FA12" w:rsidR="00110761" w:rsidRPr="001C1672" w:rsidRDefault="00110761" w:rsidP="000D0081">
      <w:pPr>
        <w:pStyle w:val="NormalWeb"/>
        <w:spacing w:line="360" w:lineRule="auto"/>
        <w:rPr>
          <w:rFonts w:asciiTheme="majorBidi" w:hAnsiTheme="majorBidi" w:cstheme="majorBidi"/>
          <w:b/>
          <w:bCs/>
          <w:sz w:val="28"/>
          <w:szCs w:val="28"/>
        </w:rPr>
      </w:pPr>
    </w:p>
    <w:p w14:paraId="65A64D01" w14:textId="75938A06" w:rsidR="00AE7166" w:rsidRPr="001C1672" w:rsidRDefault="00487E99" w:rsidP="00107C9C">
      <w:pPr>
        <w:pStyle w:val="NormalWeb"/>
        <w:spacing w:line="360" w:lineRule="auto"/>
        <w:jc w:val="both"/>
        <w:rPr>
          <w:rFonts w:asciiTheme="majorBidi" w:hAnsiTheme="majorBidi" w:cstheme="majorBidi"/>
          <w:sz w:val="28"/>
          <w:szCs w:val="28"/>
        </w:rPr>
      </w:pPr>
      <w:r w:rsidRPr="001C1672">
        <w:rPr>
          <w:rFonts w:asciiTheme="majorBidi" w:hAnsiTheme="majorBidi" w:cstheme="majorBidi"/>
          <w:noProof/>
          <w:sz w:val="28"/>
          <w:szCs w:val="28"/>
        </w:rPr>
        <w:drawing>
          <wp:anchor distT="0" distB="0" distL="114300" distR="114300" simplePos="0" relativeHeight="251661312" behindDoc="0" locked="0" layoutInCell="1" allowOverlap="1" wp14:anchorId="780F8A43" wp14:editId="36264942">
            <wp:simplePos x="0" y="0"/>
            <wp:positionH relativeFrom="margin">
              <wp:posOffset>1635760</wp:posOffset>
            </wp:positionH>
            <wp:positionV relativeFrom="paragraph">
              <wp:posOffset>400050</wp:posOffset>
            </wp:positionV>
            <wp:extent cx="2671947" cy="548640"/>
            <wp:effectExtent l="0" t="0" r="0" b="3810"/>
            <wp:wrapTopAndBottom/>
            <wp:docPr id="1913813799"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813799" name="Picture 1" descr="A black text on a white backgroun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671947" cy="548640"/>
                    </a:xfrm>
                    <a:prstGeom prst="rect">
                      <a:avLst/>
                    </a:prstGeom>
                  </pic:spPr>
                </pic:pic>
              </a:graphicData>
            </a:graphic>
            <wp14:sizeRelH relativeFrom="margin">
              <wp14:pctWidth>0</wp14:pctWidth>
            </wp14:sizeRelH>
            <wp14:sizeRelV relativeFrom="margin">
              <wp14:pctHeight>0</wp14:pctHeight>
            </wp14:sizeRelV>
          </wp:anchor>
        </w:drawing>
      </w:r>
      <w:r w:rsidR="00AE7166" w:rsidRPr="001C1672">
        <w:rPr>
          <w:rFonts w:asciiTheme="majorBidi" w:hAnsiTheme="majorBidi" w:cstheme="majorBidi"/>
          <w:b/>
          <w:bCs/>
          <w:sz w:val="28"/>
          <w:szCs w:val="28"/>
        </w:rPr>
        <w:t>F1 Score</w:t>
      </w:r>
      <w:r w:rsidR="00AE7166" w:rsidRPr="001C1672">
        <w:rPr>
          <w:rFonts w:asciiTheme="majorBidi" w:hAnsiTheme="majorBidi" w:cstheme="majorBidi"/>
          <w:sz w:val="28"/>
          <w:szCs w:val="28"/>
        </w:rPr>
        <w:t>: The F1 score is the harmonic mean of precision and recall, calculated as:</w:t>
      </w:r>
    </w:p>
    <w:p w14:paraId="3C406BF9" w14:textId="37EF962E" w:rsidR="00487E99" w:rsidRPr="001C1672" w:rsidRDefault="00487E99" w:rsidP="000D0081">
      <w:pPr>
        <w:pStyle w:val="NormalWeb"/>
        <w:spacing w:line="360" w:lineRule="auto"/>
        <w:rPr>
          <w:rFonts w:asciiTheme="majorBidi" w:hAnsiTheme="majorBidi" w:cstheme="majorBidi"/>
          <w:b/>
          <w:bCs/>
          <w:sz w:val="28"/>
          <w:szCs w:val="28"/>
        </w:rPr>
      </w:pPr>
    </w:p>
    <w:p w14:paraId="672D6691" w14:textId="216A7BE5" w:rsidR="00AE7166" w:rsidRPr="001C1672" w:rsidRDefault="00AE7166" w:rsidP="00107C9C">
      <w:pPr>
        <w:pStyle w:val="NormalWeb"/>
        <w:spacing w:line="360" w:lineRule="auto"/>
        <w:jc w:val="both"/>
        <w:rPr>
          <w:rFonts w:asciiTheme="majorBidi" w:hAnsiTheme="majorBidi" w:cstheme="majorBidi"/>
          <w:sz w:val="28"/>
          <w:szCs w:val="28"/>
        </w:rPr>
      </w:pPr>
      <w:r w:rsidRPr="001C1672">
        <w:rPr>
          <w:rFonts w:asciiTheme="majorBidi" w:hAnsiTheme="majorBidi" w:cstheme="majorBidi"/>
          <w:b/>
          <w:bCs/>
          <w:sz w:val="28"/>
          <w:szCs w:val="28"/>
        </w:rPr>
        <w:t>Area Under the Curve (AUC)</w:t>
      </w:r>
      <w:r w:rsidRPr="001C1672">
        <w:rPr>
          <w:rFonts w:asciiTheme="majorBidi" w:hAnsiTheme="majorBidi" w:cstheme="majorBidi"/>
          <w:sz w:val="28"/>
          <w:szCs w:val="28"/>
        </w:rPr>
        <w:t>: The AUC is derived from the Receiver Operating Characteristic (ROC) curve, which plots the true positive rate (sensitivity) against the false positive rate (1-specificity) at various thresholds. AUC quantifies the model's ability to distinguish between optimal and non-optimal trigger days, with higher values indicating better discrimination.</w:t>
      </w:r>
    </w:p>
    <w:p w14:paraId="69C72B8F" w14:textId="77777777" w:rsidR="00107C9C" w:rsidRPr="001C1672" w:rsidRDefault="00AE7166" w:rsidP="000D0081">
      <w:pPr>
        <w:pStyle w:val="NormalWeb"/>
        <w:spacing w:line="360" w:lineRule="auto"/>
        <w:rPr>
          <w:rFonts w:asciiTheme="majorBidi" w:hAnsiTheme="majorBidi" w:cstheme="majorBidi"/>
          <w:b/>
          <w:bCs/>
          <w:sz w:val="28"/>
          <w:szCs w:val="28"/>
        </w:rPr>
      </w:pPr>
      <w:r w:rsidRPr="001C1672">
        <w:rPr>
          <w:rFonts w:asciiTheme="majorBidi" w:hAnsiTheme="majorBidi" w:cstheme="majorBidi"/>
          <w:b/>
          <w:bCs/>
          <w:sz w:val="28"/>
          <w:szCs w:val="28"/>
        </w:rPr>
        <w:lastRenderedPageBreak/>
        <w:t>Model Interpretation</w:t>
      </w:r>
    </w:p>
    <w:p w14:paraId="4BD98726" w14:textId="18DEFA7F" w:rsidR="00AE7166" w:rsidRPr="001C1672" w:rsidRDefault="00AE7166" w:rsidP="00107C9C">
      <w:pPr>
        <w:pStyle w:val="NormalWeb"/>
        <w:spacing w:line="360" w:lineRule="auto"/>
        <w:jc w:val="both"/>
        <w:rPr>
          <w:rFonts w:asciiTheme="majorBidi" w:hAnsiTheme="majorBidi" w:cstheme="majorBidi"/>
          <w:sz w:val="28"/>
          <w:szCs w:val="28"/>
        </w:rPr>
      </w:pPr>
      <w:r w:rsidRPr="001C1672">
        <w:rPr>
          <w:rFonts w:asciiTheme="majorBidi" w:hAnsiTheme="majorBidi" w:cstheme="majorBidi"/>
          <w:sz w:val="28"/>
          <w:szCs w:val="28"/>
        </w:rPr>
        <w:t>The interpretation of the predictive model's results was conducted, focusing on the estimated optimal day for ovulation trigger administration. Additionally, the relative importance of each predictive factor was analyzed to understand its contribution to the model’s performance. The clinical implications of the model’s predictions were explored, including potential applications in reproductive medicine to enhance decision-making processes related to ovulation timing and optimize IVF and ICSI outcomes.</w:t>
      </w:r>
    </w:p>
    <w:p w14:paraId="6AFA9351" w14:textId="453CFB63" w:rsidR="002A6FC0" w:rsidRPr="001C1672" w:rsidRDefault="002A6FC0" w:rsidP="000D0081">
      <w:pPr>
        <w:pStyle w:val="NormalWeb"/>
        <w:spacing w:line="360" w:lineRule="auto"/>
        <w:rPr>
          <w:rFonts w:asciiTheme="majorBidi" w:hAnsiTheme="majorBidi" w:cstheme="majorBidi"/>
          <w:sz w:val="32"/>
          <w:szCs w:val="32"/>
        </w:rPr>
      </w:pPr>
      <w:r w:rsidRPr="001C1672">
        <w:rPr>
          <w:rFonts w:asciiTheme="majorBidi" w:hAnsiTheme="majorBidi" w:cstheme="majorBidi"/>
          <w:b/>
          <w:bCs/>
          <w:sz w:val="32"/>
          <w:szCs w:val="32"/>
        </w:rPr>
        <w:t>Results</w:t>
      </w:r>
    </w:p>
    <w:p w14:paraId="169457AB" w14:textId="4C02A17E" w:rsidR="00487E99" w:rsidRPr="001C1672" w:rsidRDefault="00487E99" w:rsidP="00107C9C">
      <w:pPr>
        <w:bidi w:val="0"/>
        <w:spacing w:line="360" w:lineRule="auto"/>
        <w:jc w:val="both"/>
        <w:rPr>
          <w:rFonts w:asciiTheme="majorBidi" w:eastAsia="Times New Roman" w:hAnsiTheme="majorBidi" w:cstheme="majorBidi"/>
          <w:sz w:val="28"/>
          <w:szCs w:val="28"/>
        </w:rPr>
      </w:pPr>
      <w:r w:rsidRPr="001C1672">
        <w:rPr>
          <w:rFonts w:asciiTheme="majorBidi" w:eastAsia="Times New Roman" w:hAnsiTheme="majorBidi" w:cstheme="majorBidi"/>
          <w:sz w:val="28"/>
          <w:szCs w:val="28"/>
        </w:rPr>
        <w:t xml:space="preserve">This study </w:t>
      </w:r>
      <w:r w:rsidR="00107C9C" w:rsidRPr="001C1672">
        <w:rPr>
          <w:rFonts w:asciiTheme="majorBidi" w:eastAsia="Times New Roman" w:hAnsiTheme="majorBidi" w:cstheme="majorBidi"/>
          <w:sz w:val="28"/>
          <w:szCs w:val="28"/>
        </w:rPr>
        <w:t>demonstrates</w:t>
      </w:r>
      <w:r w:rsidRPr="001C1672">
        <w:rPr>
          <w:rFonts w:asciiTheme="majorBidi" w:eastAsia="Times New Roman" w:hAnsiTheme="majorBidi" w:cstheme="majorBidi"/>
          <w:sz w:val="28"/>
          <w:szCs w:val="28"/>
        </w:rPr>
        <w:t xml:space="preserve"> three distinct approaches for determining the optimal timing of ovulation trigger using Follicle-Based Trigger Models (FBTM). These models integrate multiple parameters, including days of stimulation, estradiol levels, progesterone concentrations, anti-Müllerian hormone (AMH) levels, and antral follicle count (AFC), with the aim of improving the accuracy and timing of ovulation trigger during controlled ovarian hyperstimulation cycles.</w:t>
      </w:r>
    </w:p>
    <w:p w14:paraId="53F3E801" w14:textId="77777777" w:rsidR="00487E99" w:rsidRPr="001C1672" w:rsidRDefault="00487E99" w:rsidP="00107C9C">
      <w:pPr>
        <w:bidi w:val="0"/>
        <w:spacing w:line="360" w:lineRule="auto"/>
        <w:jc w:val="both"/>
        <w:rPr>
          <w:rFonts w:asciiTheme="majorBidi" w:eastAsia="Times New Roman" w:hAnsiTheme="majorBidi" w:cstheme="majorBidi"/>
          <w:sz w:val="28"/>
          <w:szCs w:val="28"/>
        </w:rPr>
      </w:pPr>
      <w:r w:rsidRPr="001C1672">
        <w:rPr>
          <w:rFonts w:asciiTheme="majorBidi" w:eastAsia="Times New Roman" w:hAnsiTheme="majorBidi" w:cstheme="majorBidi"/>
          <w:sz w:val="28"/>
          <w:szCs w:val="28"/>
        </w:rPr>
        <w:t xml:space="preserve">The first Follicle-Based Trigger Model (FBTM) is based on the principle that ovulation trigger should be administered when multiple mature follicles are present, defined by the presence of at least two follicles measuring ≥ 18 mm and a leading follicle measuring ≥ 20 mm. The scoring system assigns points based on the number and size of follicles, duration of ovarian stimulation, and hormonal levels. Specifically, patients with fewer than four follicles ≥ 18 mm receive 10 points, those with 4-5 follicles receive 15 points, and those with ≥ 6 follicles are awarded 20 points. The size of the leading follicle is also considered, with 10 points for a lead follicle ≥ 22 mm, 5 points for a follicle measuring 20-21 mm, and 0 points for a lead </w:t>
      </w:r>
      <w:r w:rsidRPr="001C1672">
        <w:rPr>
          <w:rFonts w:asciiTheme="majorBidi" w:eastAsia="Times New Roman" w:hAnsiTheme="majorBidi" w:cstheme="majorBidi"/>
          <w:sz w:val="28"/>
          <w:szCs w:val="28"/>
        </w:rPr>
        <w:lastRenderedPageBreak/>
        <w:t xml:space="preserve">follicle &lt; 20 mm. Additionally, the duration of ovarian stimulation is evaluated, with 10 points for 8-10 days of stimulation, 5 points for 11-12 days, and 0 points for stimulation lasting ≥ 13 days. Estradiol levels ≥ 1,500 </w:t>
      </w:r>
      <w:proofErr w:type="spellStart"/>
      <w:r w:rsidRPr="001C1672">
        <w:rPr>
          <w:rFonts w:asciiTheme="majorBidi" w:eastAsia="Times New Roman" w:hAnsiTheme="majorBidi" w:cstheme="majorBidi"/>
          <w:sz w:val="28"/>
          <w:szCs w:val="28"/>
        </w:rPr>
        <w:t>pg</w:t>
      </w:r>
      <w:proofErr w:type="spellEnd"/>
      <w:r w:rsidRPr="001C1672">
        <w:rPr>
          <w:rFonts w:asciiTheme="majorBidi" w:eastAsia="Times New Roman" w:hAnsiTheme="majorBidi" w:cstheme="majorBidi"/>
          <w:sz w:val="28"/>
          <w:szCs w:val="28"/>
        </w:rPr>
        <w:t xml:space="preserve">/mL contribute 10 points, levels between 1,000 and 1,499 </w:t>
      </w:r>
      <w:proofErr w:type="spellStart"/>
      <w:r w:rsidRPr="001C1672">
        <w:rPr>
          <w:rFonts w:asciiTheme="majorBidi" w:eastAsia="Times New Roman" w:hAnsiTheme="majorBidi" w:cstheme="majorBidi"/>
          <w:sz w:val="28"/>
          <w:szCs w:val="28"/>
        </w:rPr>
        <w:t>pg</w:t>
      </w:r>
      <w:proofErr w:type="spellEnd"/>
      <w:r w:rsidRPr="001C1672">
        <w:rPr>
          <w:rFonts w:asciiTheme="majorBidi" w:eastAsia="Times New Roman" w:hAnsiTheme="majorBidi" w:cstheme="majorBidi"/>
          <w:sz w:val="28"/>
          <w:szCs w:val="28"/>
        </w:rPr>
        <w:t xml:space="preserve">/mL provide 5 points, and levels &lt; 1,000 </w:t>
      </w:r>
      <w:proofErr w:type="spellStart"/>
      <w:r w:rsidRPr="001C1672">
        <w:rPr>
          <w:rFonts w:asciiTheme="majorBidi" w:eastAsia="Times New Roman" w:hAnsiTheme="majorBidi" w:cstheme="majorBidi"/>
          <w:sz w:val="28"/>
          <w:szCs w:val="28"/>
        </w:rPr>
        <w:t>pg</w:t>
      </w:r>
      <w:proofErr w:type="spellEnd"/>
      <w:r w:rsidRPr="001C1672">
        <w:rPr>
          <w:rFonts w:asciiTheme="majorBidi" w:eastAsia="Times New Roman" w:hAnsiTheme="majorBidi" w:cstheme="majorBidi"/>
          <w:sz w:val="28"/>
          <w:szCs w:val="28"/>
        </w:rPr>
        <w:t>/mL result in 0 points. Progesterone levels are categorized as follows: values &lt; 1.5 ng/mL receive 10 points, values between 1.5 and 2.9 ng/mL earn 5 points, and levels ≥ 3 ng/mL contribute 0 points. Based on the cumulative score, the ovulation trigger is administered immediately if the score is ≥ 55, delayed for 12-24 hours if the score is between 45 and 54, and re-evaluated if the score is &lt; 45. While this model provides a comprehensive approach to trigger timing, it remains hypothetical and may require refinement to account for patient-specific characteristics and clinical guidelines.</w:t>
      </w:r>
    </w:p>
    <w:p w14:paraId="4F1840A2" w14:textId="5B205571" w:rsidR="00487E99" w:rsidRPr="001C1672" w:rsidRDefault="00487E99" w:rsidP="00107C9C">
      <w:pPr>
        <w:bidi w:val="0"/>
        <w:spacing w:line="360" w:lineRule="auto"/>
        <w:jc w:val="both"/>
        <w:rPr>
          <w:rFonts w:asciiTheme="majorBidi" w:eastAsia="Times New Roman" w:hAnsiTheme="majorBidi" w:cstheme="majorBidi"/>
          <w:sz w:val="28"/>
          <w:szCs w:val="28"/>
        </w:rPr>
      </w:pPr>
      <w:r w:rsidRPr="001C1672">
        <w:rPr>
          <w:rFonts w:asciiTheme="majorBidi" w:eastAsia="Times New Roman" w:hAnsiTheme="majorBidi" w:cstheme="majorBidi"/>
          <w:sz w:val="28"/>
          <w:szCs w:val="28"/>
        </w:rPr>
        <w:t xml:space="preserve">The second FBTM incorporates AMH and AFC to further refine trigger timing. The model is founded on the same premise that ovulation should be triggered when multiple mature follicles are present, with the leading follicle confirmed to be ≥ 20 mm. The scoring system for follicular development, hormonal levels, and ovarian response is </w:t>
      </w:r>
      <w:proofErr w:type="gramStart"/>
      <w:r w:rsidRPr="001C1672">
        <w:rPr>
          <w:rFonts w:asciiTheme="majorBidi" w:eastAsia="Times New Roman" w:hAnsiTheme="majorBidi" w:cstheme="majorBidi"/>
          <w:sz w:val="28"/>
          <w:szCs w:val="28"/>
        </w:rPr>
        <w:t>similar to</w:t>
      </w:r>
      <w:proofErr w:type="gramEnd"/>
      <w:r w:rsidRPr="001C1672">
        <w:rPr>
          <w:rFonts w:asciiTheme="majorBidi" w:eastAsia="Times New Roman" w:hAnsiTheme="majorBidi" w:cstheme="majorBidi"/>
          <w:sz w:val="28"/>
          <w:szCs w:val="28"/>
        </w:rPr>
        <w:t xml:space="preserve"> the first model, with additional parameters for AMH and AFC</w:t>
      </w:r>
      <w:r w:rsidR="00146865" w:rsidRPr="001C1672">
        <w:rPr>
          <w:rFonts w:asciiTheme="majorBidi" w:eastAsia="Times New Roman" w:hAnsiTheme="majorBidi" w:cstheme="majorBidi"/>
          <w:sz w:val="28"/>
          <w:szCs w:val="28"/>
        </w:rPr>
        <w:t>, for the presumption of ovarian reserve and ultimately ovarian response</w:t>
      </w:r>
      <w:r w:rsidRPr="001C1672">
        <w:rPr>
          <w:rFonts w:asciiTheme="majorBidi" w:eastAsia="Times New Roman" w:hAnsiTheme="majorBidi" w:cstheme="majorBidi"/>
          <w:sz w:val="28"/>
          <w:szCs w:val="28"/>
        </w:rPr>
        <w:t xml:space="preserve">. For AMH, levels ≥ 3 ng/mL indicate a high responder, earning 15 points, while levels between 1.5 and 2.9 ng/mL denote a normal responder, earning 10 points, and levels &lt; 1.5 ng/mL indicate a low responder, awarding 5 points. AFC is also used to categorize patients into </w:t>
      </w:r>
      <w:r w:rsidR="00146865" w:rsidRPr="001C1672">
        <w:rPr>
          <w:rFonts w:asciiTheme="majorBidi" w:eastAsia="Times New Roman" w:hAnsiTheme="majorBidi" w:cstheme="majorBidi"/>
          <w:sz w:val="28"/>
          <w:szCs w:val="28"/>
        </w:rPr>
        <w:t xml:space="preserve">presumed </w:t>
      </w:r>
      <w:r w:rsidRPr="001C1672">
        <w:rPr>
          <w:rFonts w:asciiTheme="majorBidi" w:eastAsia="Times New Roman" w:hAnsiTheme="majorBidi" w:cstheme="majorBidi"/>
          <w:sz w:val="28"/>
          <w:szCs w:val="28"/>
        </w:rPr>
        <w:t xml:space="preserve">low, normal, or high responders, with patients having ≥ 15 follicles receiving 15 points, those with 8-14 follicles receiving 10 points, and those with &lt; 8 follicles receiving 5 points. The total FBTM score, which sums the points across all categories, yields a maximum score of </w:t>
      </w:r>
      <w:r w:rsidR="001F108A" w:rsidRPr="001C1672">
        <w:rPr>
          <w:rFonts w:asciiTheme="majorBidi" w:eastAsia="Times New Roman" w:hAnsiTheme="majorBidi" w:cstheme="majorBidi"/>
          <w:sz w:val="28"/>
          <w:szCs w:val="28"/>
        </w:rPr>
        <w:t>90</w:t>
      </w:r>
      <w:proofErr w:type="gramStart"/>
      <w:r w:rsidRPr="001C1672">
        <w:rPr>
          <w:rFonts w:asciiTheme="majorBidi" w:eastAsia="Times New Roman" w:hAnsiTheme="majorBidi" w:cstheme="majorBidi"/>
          <w:sz w:val="28"/>
          <w:szCs w:val="28"/>
        </w:rPr>
        <w:t xml:space="preserve"> Based</w:t>
      </w:r>
      <w:proofErr w:type="gramEnd"/>
      <w:r w:rsidRPr="001C1672">
        <w:rPr>
          <w:rFonts w:asciiTheme="majorBidi" w:eastAsia="Times New Roman" w:hAnsiTheme="majorBidi" w:cstheme="majorBidi"/>
          <w:sz w:val="28"/>
          <w:szCs w:val="28"/>
        </w:rPr>
        <w:t xml:space="preserve"> on the score, the timing of the ovulation trigger is determined, with scores of ≥ 65 indicating immediate trigger, scores between 55 and 64 suggesting a trigger in 12-24 hours, and scores &lt; </w:t>
      </w:r>
      <w:r w:rsidRPr="001C1672">
        <w:rPr>
          <w:rFonts w:asciiTheme="majorBidi" w:eastAsia="Times New Roman" w:hAnsiTheme="majorBidi" w:cstheme="majorBidi"/>
          <w:sz w:val="28"/>
          <w:szCs w:val="28"/>
        </w:rPr>
        <w:lastRenderedPageBreak/>
        <w:t>55 necessitating re-evaluation. This revised model is also hypothetical and should be further validated and refined to better reflect patient-specific responses and clinical protocols.</w:t>
      </w:r>
    </w:p>
    <w:p w14:paraId="029C37BD" w14:textId="6C1B6715" w:rsidR="001C1672" w:rsidRPr="001C1672" w:rsidRDefault="00487E99" w:rsidP="001C1672">
      <w:pPr>
        <w:bidi w:val="0"/>
        <w:spacing w:line="360" w:lineRule="auto"/>
        <w:jc w:val="both"/>
        <w:rPr>
          <w:rFonts w:asciiTheme="majorBidi" w:eastAsia="Times New Roman" w:hAnsiTheme="majorBidi" w:cstheme="majorBidi"/>
          <w:sz w:val="28"/>
          <w:szCs w:val="28"/>
        </w:rPr>
      </w:pPr>
      <w:r w:rsidRPr="001C1672">
        <w:rPr>
          <w:rFonts w:asciiTheme="majorBidi" w:eastAsia="Times New Roman" w:hAnsiTheme="majorBidi" w:cstheme="majorBidi"/>
          <w:sz w:val="28"/>
          <w:szCs w:val="28"/>
        </w:rPr>
        <w:t xml:space="preserve">The third model, </w:t>
      </w:r>
      <w:r w:rsidR="001C1672" w:rsidRPr="001C1672">
        <w:rPr>
          <w:rFonts w:asciiTheme="majorBidi" w:eastAsia="Times New Roman" w:hAnsiTheme="majorBidi" w:cstheme="majorBidi"/>
          <w:sz w:val="28"/>
          <w:szCs w:val="28"/>
        </w:rPr>
        <w:t xml:space="preserve">The </w:t>
      </w:r>
      <w:r w:rsidR="001C1672" w:rsidRPr="001C1672">
        <w:rPr>
          <w:rFonts w:asciiTheme="majorBidi" w:eastAsia="Times New Roman" w:hAnsiTheme="majorBidi" w:cstheme="majorBidi"/>
          <w:b/>
          <w:bCs/>
          <w:sz w:val="28"/>
          <w:szCs w:val="28"/>
        </w:rPr>
        <w:t>Trigger Day Predictive Score (TDPS)</w:t>
      </w:r>
      <w:r w:rsidR="001C1672" w:rsidRPr="001C1672">
        <w:rPr>
          <w:rFonts w:asciiTheme="majorBidi" w:eastAsia="Times New Roman" w:hAnsiTheme="majorBidi" w:cstheme="majorBidi"/>
          <w:sz w:val="28"/>
          <w:szCs w:val="28"/>
        </w:rPr>
        <w:t xml:space="preserve"> is a robust and multifaceted model developed to predict the optimal timing for ovulation trigger in assisted reproductive technology (ART) cycles. By incorporating a combination of patient characteristics, ovarian stimulation protocol, and follicular response, the TDPS aims to enhance the precision of timing ovulation, ultimately improving ART outcomes. </w:t>
      </w:r>
    </w:p>
    <w:p w14:paraId="3E130F86" w14:textId="77777777" w:rsidR="001C1672" w:rsidRPr="001C1672" w:rsidRDefault="001C1672" w:rsidP="001C1672">
      <w:pPr>
        <w:bidi w:val="0"/>
        <w:spacing w:line="360" w:lineRule="auto"/>
        <w:jc w:val="both"/>
        <w:rPr>
          <w:rFonts w:asciiTheme="majorBidi" w:eastAsia="Times New Roman" w:hAnsiTheme="majorBidi" w:cstheme="majorBidi"/>
          <w:sz w:val="28"/>
          <w:szCs w:val="28"/>
        </w:rPr>
      </w:pPr>
      <w:r w:rsidRPr="001C1672">
        <w:rPr>
          <w:rFonts w:asciiTheme="majorBidi" w:eastAsia="Times New Roman" w:hAnsiTheme="majorBidi" w:cstheme="majorBidi"/>
          <w:b/>
          <w:bCs/>
          <w:sz w:val="28"/>
          <w:szCs w:val="28"/>
        </w:rPr>
        <w:t>Patient characteristics</w:t>
      </w:r>
      <w:r w:rsidRPr="001C1672">
        <w:rPr>
          <w:rFonts w:asciiTheme="majorBidi" w:eastAsia="Times New Roman" w:hAnsiTheme="majorBidi" w:cstheme="majorBidi"/>
          <w:sz w:val="28"/>
          <w:szCs w:val="28"/>
        </w:rPr>
        <w:t xml:space="preserve">, which contribute a total of 20 points in the model, play a crucial role in assessing the individual’s baseline ovarian reserve and general health status. Age is a key factor in predicting ovarian responsiveness, with younger women (≤ 35 years) receiving the highest score of 8 points, reflecting their generally better ovarian reserve and response to stimulation. In contrast, women aged 36-40 years are assigned 5 points, women aged 41-45 years receive 2 points, and women aged ≥ 46 years are awarded 0 points, acknowledging the diminished ovarian reserve and response associated with advancing age. Anti-Müllerian Hormone (AMH), a well-established biomarker of ovarian reserve, is scored based on its level, with values ≥ 5 ng/mL corresponding to the maximum score of 8 points, indicating a higher likelihood of favorable follicular development. AMH levels between 2.5 and 4.9 ng/mL yield 5 points, levels between 1.5 and 2.4 ng/mL result in 2 points, and levels &lt; 1.5 ng/mL contribute 0 points, suggesting poor ovarian reserve and potentially lower follicular response. Body Mass Index (BMI), which is known to influence both ovarian function and ART outcomes, contributes 4 points for patients within the normal BMI range of 18.5-24.9 kg/m². Elevated BMI has been linked to poor </w:t>
      </w:r>
      <w:r w:rsidRPr="001C1672">
        <w:rPr>
          <w:rFonts w:asciiTheme="majorBidi" w:eastAsia="Times New Roman" w:hAnsiTheme="majorBidi" w:cstheme="majorBidi"/>
          <w:sz w:val="28"/>
          <w:szCs w:val="28"/>
        </w:rPr>
        <w:lastRenderedPageBreak/>
        <w:t>ovarian response and lower implantation rates, though the model specifically considers the normal weight range as optimal.</w:t>
      </w:r>
    </w:p>
    <w:p w14:paraId="7C47548E" w14:textId="77777777" w:rsidR="001C1672" w:rsidRPr="001C1672" w:rsidRDefault="001C1672" w:rsidP="001C1672">
      <w:pPr>
        <w:bidi w:val="0"/>
        <w:spacing w:line="360" w:lineRule="auto"/>
        <w:jc w:val="both"/>
        <w:rPr>
          <w:rFonts w:asciiTheme="majorBidi" w:eastAsia="Times New Roman" w:hAnsiTheme="majorBidi" w:cstheme="majorBidi"/>
          <w:sz w:val="28"/>
          <w:szCs w:val="28"/>
        </w:rPr>
      </w:pPr>
      <w:r w:rsidRPr="001C1672">
        <w:rPr>
          <w:rFonts w:asciiTheme="majorBidi" w:eastAsia="Times New Roman" w:hAnsiTheme="majorBidi" w:cstheme="majorBidi"/>
          <w:b/>
          <w:bCs/>
          <w:sz w:val="28"/>
          <w:szCs w:val="28"/>
        </w:rPr>
        <w:t>Stimulation characteristics</w:t>
      </w:r>
      <w:r w:rsidRPr="001C1672">
        <w:rPr>
          <w:rFonts w:asciiTheme="majorBidi" w:eastAsia="Times New Roman" w:hAnsiTheme="majorBidi" w:cstheme="majorBidi"/>
          <w:sz w:val="28"/>
          <w:szCs w:val="28"/>
        </w:rPr>
        <w:t xml:space="preserve">, comprising a total of 25 points, reflect the clinical aspects of ovarian stimulation, including the protocol used, gonadotropin dosage, and stimulation duration. The stimulation protocol, which is fundamental in determining the ovarian response, is assigned 8 points for GnRH agonist protocols, widely regarded as the gold standard due to their well-established effectiveness in ART cycles. </w:t>
      </w:r>
      <w:proofErr w:type="gramStart"/>
      <w:r w:rsidRPr="001C1672">
        <w:rPr>
          <w:rFonts w:asciiTheme="majorBidi" w:eastAsia="Times New Roman" w:hAnsiTheme="majorBidi" w:cstheme="majorBidi"/>
          <w:sz w:val="28"/>
          <w:szCs w:val="28"/>
        </w:rPr>
        <w:t>GnRH antagonist</w:t>
      </w:r>
      <w:proofErr w:type="gramEnd"/>
      <w:r w:rsidRPr="001C1672">
        <w:rPr>
          <w:rFonts w:asciiTheme="majorBidi" w:eastAsia="Times New Roman" w:hAnsiTheme="majorBidi" w:cstheme="majorBidi"/>
          <w:sz w:val="28"/>
          <w:szCs w:val="28"/>
        </w:rPr>
        <w:t xml:space="preserve"> protocols, often used for patients at risk of ovarian hyperstimulation syndrome (OHSS) or with poor ovarian </w:t>
      </w:r>
      <w:proofErr w:type="gramStart"/>
      <w:r w:rsidRPr="001C1672">
        <w:rPr>
          <w:rFonts w:asciiTheme="majorBidi" w:eastAsia="Times New Roman" w:hAnsiTheme="majorBidi" w:cstheme="majorBidi"/>
          <w:sz w:val="28"/>
          <w:szCs w:val="28"/>
        </w:rPr>
        <w:t>reserve</w:t>
      </w:r>
      <w:proofErr w:type="gramEnd"/>
      <w:r w:rsidRPr="001C1672">
        <w:rPr>
          <w:rFonts w:asciiTheme="majorBidi" w:eastAsia="Times New Roman" w:hAnsiTheme="majorBidi" w:cstheme="majorBidi"/>
          <w:sz w:val="28"/>
          <w:szCs w:val="28"/>
        </w:rPr>
        <w:t>, are assigned 5 points, while other less common protocols receive 2 points. Gonadotropin dosage, which directly influences the number and quality of follicles produced, is classified into low (&lt; 150 IU/day), medium (150-300 IU/day), and high (&gt; 300 IU/day) dosages, with corresponding scores of 8, 5, and 2 points, respectively. Lower gonadotropin doses are generally associated with less ovarian stimulation, while higher doses may increase the risk of OHSS but may be necessary for patients with low ovarian reserve or poor response to initial stimulation. The duration of ovarian stimulation is also critical, with shorter stimulation regimens (less than 8 days) earning 4 points, reflecting the potential for quicker follicular maturation and earlier ovulation. Medium and long stimulation durations (8-12 days and &gt; 12 days, respectively) are associated with a slower follicular growth rate and a lower risk of premature luteinization, thus contributing fewer points to the overall score.</w:t>
      </w:r>
    </w:p>
    <w:p w14:paraId="5783CA5D" w14:textId="77777777" w:rsidR="001C1672" w:rsidRPr="001C1672" w:rsidRDefault="001C1672" w:rsidP="001C1672">
      <w:pPr>
        <w:bidi w:val="0"/>
        <w:spacing w:line="360" w:lineRule="auto"/>
        <w:jc w:val="both"/>
        <w:rPr>
          <w:rFonts w:asciiTheme="majorBidi" w:eastAsia="Times New Roman" w:hAnsiTheme="majorBidi" w:cstheme="majorBidi"/>
          <w:sz w:val="28"/>
          <w:szCs w:val="28"/>
        </w:rPr>
      </w:pPr>
      <w:r w:rsidRPr="001C1672">
        <w:rPr>
          <w:rFonts w:asciiTheme="majorBidi" w:eastAsia="Times New Roman" w:hAnsiTheme="majorBidi" w:cstheme="majorBidi"/>
          <w:b/>
          <w:bCs/>
          <w:sz w:val="28"/>
          <w:szCs w:val="28"/>
        </w:rPr>
        <w:t>Follicular response</w:t>
      </w:r>
      <w:r w:rsidRPr="001C1672">
        <w:rPr>
          <w:rFonts w:asciiTheme="majorBidi" w:eastAsia="Times New Roman" w:hAnsiTheme="majorBidi" w:cstheme="majorBidi"/>
          <w:sz w:val="28"/>
          <w:szCs w:val="28"/>
        </w:rPr>
        <w:t xml:space="preserve">, the most influential section of the TDPS model, contributes 35 points and reflects the actual ovarian response to stimulation. The number and size of follicles are considered first, with a higher number of mature follicles (≥ 17 mm) being associated with better chances of successful ovulation and fertilization. Patients with ≥ 3 follicles ≥ 17 mm are awarded the maximum 20 points, indicating </w:t>
      </w:r>
      <w:r w:rsidRPr="001C1672">
        <w:rPr>
          <w:rFonts w:asciiTheme="majorBidi" w:eastAsia="Times New Roman" w:hAnsiTheme="majorBidi" w:cstheme="majorBidi"/>
          <w:sz w:val="28"/>
          <w:szCs w:val="28"/>
        </w:rPr>
        <w:lastRenderedPageBreak/>
        <w:t xml:space="preserve">optimal follicular development, while those with 2 follicles ≥ 17 mm receive 15 points, and those with 1 follicle ≥ 17 mm are assigned 10 points. This parameter is critical for predicting the likelihood of successful egg retrieval and fertilization. Estradiol levels, which correlate with the degree of follicular development and the number of mature eggs, are categorized into three ranges: levels ≥ 2,000 </w:t>
      </w:r>
      <w:proofErr w:type="spellStart"/>
      <w:r w:rsidRPr="001C1672">
        <w:rPr>
          <w:rFonts w:asciiTheme="majorBidi" w:eastAsia="Times New Roman" w:hAnsiTheme="majorBidi" w:cstheme="majorBidi"/>
          <w:sz w:val="28"/>
          <w:szCs w:val="28"/>
        </w:rPr>
        <w:t>pg</w:t>
      </w:r>
      <w:proofErr w:type="spellEnd"/>
      <w:r w:rsidRPr="001C1672">
        <w:rPr>
          <w:rFonts w:asciiTheme="majorBidi" w:eastAsia="Times New Roman" w:hAnsiTheme="majorBidi" w:cstheme="majorBidi"/>
          <w:sz w:val="28"/>
          <w:szCs w:val="28"/>
        </w:rPr>
        <w:t xml:space="preserve">/mL contribute 10 points, suggesting a high level of follicular maturation and readiness for ovulation; levels between 1,000 and 1,999 </w:t>
      </w:r>
      <w:proofErr w:type="spellStart"/>
      <w:r w:rsidRPr="001C1672">
        <w:rPr>
          <w:rFonts w:asciiTheme="majorBidi" w:eastAsia="Times New Roman" w:hAnsiTheme="majorBidi" w:cstheme="majorBidi"/>
          <w:sz w:val="28"/>
          <w:szCs w:val="28"/>
        </w:rPr>
        <w:t>pg</w:t>
      </w:r>
      <w:proofErr w:type="spellEnd"/>
      <w:r w:rsidRPr="001C1672">
        <w:rPr>
          <w:rFonts w:asciiTheme="majorBidi" w:eastAsia="Times New Roman" w:hAnsiTheme="majorBidi" w:cstheme="majorBidi"/>
          <w:sz w:val="28"/>
          <w:szCs w:val="28"/>
        </w:rPr>
        <w:t xml:space="preserve">/mL yield 5 points, indicating moderate follicular development; and levels &lt; 1,000 </w:t>
      </w:r>
      <w:proofErr w:type="spellStart"/>
      <w:r w:rsidRPr="001C1672">
        <w:rPr>
          <w:rFonts w:asciiTheme="majorBidi" w:eastAsia="Times New Roman" w:hAnsiTheme="majorBidi" w:cstheme="majorBidi"/>
          <w:sz w:val="28"/>
          <w:szCs w:val="28"/>
        </w:rPr>
        <w:t>pg</w:t>
      </w:r>
      <w:proofErr w:type="spellEnd"/>
      <w:r w:rsidRPr="001C1672">
        <w:rPr>
          <w:rFonts w:asciiTheme="majorBidi" w:eastAsia="Times New Roman" w:hAnsiTheme="majorBidi" w:cstheme="majorBidi"/>
          <w:sz w:val="28"/>
          <w:szCs w:val="28"/>
        </w:rPr>
        <w:t>/mL result in 1 point, suggesting insufficient follicular growth. Finally, follicular growth rate, which is directly linked to the pace at which follicles mature during stimulation, is scored based on the rate of increase in follicle size per day. Fast follicular growth (&gt; 2 mm/day) earns 5 points, indicating rapid and consistent maturation, while medium growth (1-2 mm/day) and slow growth (&lt; 1 mm/day) are awarded 3 and 1 point(s), respectively, reflecting slower follicular development and a potentially delayed response to stimulation.</w:t>
      </w:r>
    </w:p>
    <w:p w14:paraId="75F73882" w14:textId="77777777" w:rsidR="001C1672" w:rsidRPr="001C1672" w:rsidRDefault="001C1672" w:rsidP="001C1672">
      <w:pPr>
        <w:bidi w:val="0"/>
        <w:spacing w:line="360" w:lineRule="auto"/>
        <w:jc w:val="both"/>
        <w:rPr>
          <w:rFonts w:asciiTheme="majorBidi" w:eastAsia="Times New Roman" w:hAnsiTheme="majorBidi" w:cstheme="majorBidi"/>
          <w:sz w:val="28"/>
          <w:szCs w:val="28"/>
        </w:rPr>
      </w:pPr>
      <w:r w:rsidRPr="001C1672">
        <w:rPr>
          <w:rFonts w:asciiTheme="majorBidi" w:eastAsia="Times New Roman" w:hAnsiTheme="majorBidi" w:cstheme="majorBidi"/>
          <w:sz w:val="28"/>
          <w:szCs w:val="28"/>
        </w:rPr>
        <w:t>The total score, which ranges from 0 to 80 points, is the sum of the scores from each of the three categories. This score is then used to predict the optimal timing for ovulation trigger, with the following thresholds:</w:t>
      </w:r>
    </w:p>
    <w:p w14:paraId="283FD48E" w14:textId="77777777" w:rsidR="001C1672" w:rsidRPr="001C1672" w:rsidRDefault="001C1672" w:rsidP="001C1672">
      <w:pPr>
        <w:numPr>
          <w:ilvl w:val="0"/>
          <w:numId w:val="28"/>
        </w:numPr>
        <w:bidi w:val="0"/>
        <w:spacing w:line="360" w:lineRule="auto"/>
        <w:jc w:val="both"/>
        <w:rPr>
          <w:rFonts w:asciiTheme="majorBidi" w:eastAsia="Times New Roman" w:hAnsiTheme="majorBidi" w:cstheme="majorBidi"/>
          <w:sz w:val="28"/>
          <w:szCs w:val="28"/>
        </w:rPr>
      </w:pPr>
      <w:r w:rsidRPr="001C1672">
        <w:rPr>
          <w:rFonts w:asciiTheme="majorBidi" w:eastAsia="Times New Roman" w:hAnsiTheme="majorBidi" w:cstheme="majorBidi"/>
          <w:sz w:val="28"/>
          <w:szCs w:val="28"/>
        </w:rPr>
        <w:t xml:space="preserve">A score of </w:t>
      </w:r>
      <w:r w:rsidRPr="001C1672">
        <w:rPr>
          <w:rFonts w:asciiTheme="majorBidi" w:eastAsia="Times New Roman" w:hAnsiTheme="majorBidi" w:cstheme="majorBidi"/>
          <w:b/>
          <w:bCs/>
          <w:sz w:val="28"/>
          <w:szCs w:val="28"/>
        </w:rPr>
        <w:t>75-80 points</w:t>
      </w:r>
      <w:r w:rsidRPr="001C1672">
        <w:rPr>
          <w:rFonts w:asciiTheme="majorBidi" w:eastAsia="Times New Roman" w:hAnsiTheme="majorBidi" w:cstheme="majorBidi"/>
          <w:sz w:val="28"/>
          <w:szCs w:val="28"/>
        </w:rPr>
        <w:t xml:space="preserve"> predicts ovulation trigger on </w:t>
      </w:r>
      <w:r w:rsidRPr="001C1672">
        <w:rPr>
          <w:rFonts w:asciiTheme="majorBidi" w:eastAsia="Times New Roman" w:hAnsiTheme="majorBidi" w:cstheme="majorBidi"/>
          <w:b/>
          <w:bCs/>
          <w:sz w:val="28"/>
          <w:szCs w:val="28"/>
        </w:rPr>
        <w:t>LMP + 10-11 days</w:t>
      </w:r>
      <w:r w:rsidRPr="001C1672">
        <w:rPr>
          <w:rFonts w:asciiTheme="majorBidi" w:eastAsia="Times New Roman" w:hAnsiTheme="majorBidi" w:cstheme="majorBidi"/>
          <w:sz w:val="28"/>
          <w:szCs w:val="28"/>
        </w:rPr>
        <w:t>, indicating a fast ovarian response and ideal follicular maturation.</w:t>
      </w:r>
    </w:p>
    <w:p w14:paraId="33CA12D8" w14:textId="77777777" w:rsidR="001C1672" w:rsidRPr="001C1672" w:rsidRDefault="001C1672" w:rsidP="001C1672">
      <w:pPr>
        <w:numPr>
          <w:ilvl w:val="0"/>
          <w:numId w:val="28"/>
        </w:numPr>
        <w:bidi w:val="0"/>
        <w:spacing w:line="360" w:lineRule="auto"/>
        <w:jc w:val="both"/>
        <w:rPr>
          <w:rFonts w:asciiTheme="majorBidi" w:eastAsia="Times New Roman" w:hAnsiTheme="majorBidi" w:cstheme="majorBidi"/>
          <w:sz w:val="28"/>
          <w:szCs w:val="28"/>
        </w:rPr>
      </w:pPr>
      <w:r w:rsidRPr="001C1672">
        <w:rPr>
          <w:rFonts w:asciiTheme="majorBidi" w:eastAsia="Times New Roman" w:hAnsiTheme="majorBidi" w:cstheme="majorBidi"/>
          <w:sz w:val="28"/>
          <w:szCs w:val="28"/>
        </w:rPr>
        <w:t xml:space="preserve">A score of </w:t>
      </w:r>
      <w:r w:rsidRPr="001C1672">
        <w:rPr>
          <w:rFonts w:asciiTheme="majorBidi" w:eastAsia="Times New Roman" w:hAnsiTheme="majorBidi" w:cstheme="majorBidi"/>
          <w:b/>
          <w:bCs/>
          <w:sz w:val="28"/>
          <w:szCs w:val="28"/>
        </w:rPr>
        <w:t>70-74 points</w:t>
      </w:r>
      <w:r w:rsidRPr="001C1672">
        <w:rPr>
          <w:rFonts w:asciiTheme="majorBidi" w:eastAsia="Times New Roman" w:hAnsiTheme="majorBidi" w:cstheme="majorBidi"/>
          <w:sz w:val="28"/>
          <w:szCs w:val="28"/>
        </w:rPr>
        <w:t xml:space="preserve"> suggests trigger on </w:t>
      </w:r>
      <w:r w:rsidRPr="001C1672">
        <w:rPr>
          <w:rFonts w:asciiTheme="majorBidi" w:eastAsia="Times New Roman" w:hAnsiTheme="majorBidi" w:cstheme="majorBidi"/>
          <w:b/>
          <w:bCs/>
          <w:sz w:val="28"/>
          <w:szCs w:val="28"/>
        </w:rPr>
        <w:t>LMP + 11-12 days</w:t>
      </w:r>
      <w:r w:rsidRPr="001C1672">
        <w:rPr>
          <w:rFonts w:asciiTheme="majorBidi" w:eastAsia="Times New Roman" w:hAnsiTheme="majorBidi" w:cstheme="majorBidi"/>
          <w:sz w:val="28"/>
          <w:szCs w:val="28"/>
        </w:rPr>
        <w:t>, reflecting a well-developed ovarian response but with slight variation in timing.</w:t>
      </w:r>
    </w:p>
    <w:p w14:paraId="6A41B857" w14:textId="77777777" w:rsidR="001C1672" w:rsidRPr="001C1672" w:rsidRDefault="001C1672" w:rsidP="001C1672">
      <w:pPr>
        <w:numPr>
          <w:ilvl w:val="0"/>
          <w:numId w:val="28"/>
        </w:numPr>
        <w:bidi w:val="0"/>
        <w:spacing w:line="360" w:lineRule="auto"/>
        <w:jc w:val="both"/>
        <w:rPr>
          <w:rFonts w:asciiTheme="majorBidi" w:eastAsia="Times New Roman" w:hAnsiTheme="majorBidi" w:cstheme="majorBidi"/>
          <w:sz w:val="28"/>
          <w:szCs w:val="28"/>
        </w:rPr>
      </w:pPr>
      <w:r w:rsidRPr="001C1672">
        <w:rPr>
          <w:rFonts w:asciiTheme="majorBidi" w:eastAsia="Times New Roman" w:hAnsiTheme="majorBidi" w:cstheme="majorBidi"/>
          <w:sz w:val="28"/>
          <w:szCs w:val="28"/>
        </w:rPr>
        <w:t xml:space="preserve">A score of </w:t>
      </w:r>
      <w:r w:rsidRPr="001C1672">
        <w:rPr>
          <w:rFonts w:asciiTheme="majorBidi" w:eastAsia="Times New Roman" w:hAnsiTheme="majorBidi" w:cstheme="majorBidi"/>
          <w:b/>
          <w:bCs/>
          <w:sz w:val="28"/>
          <w:szCs w:val="28"/>
        </w:rPr>
        <w:t>65-69 points</w:t>
      </w:r>
      <w:r w:rsidRPr="001C1672">
        <w:rPr>
          <w:rFonts w:asciiTheme="majorBidi" w:eastAsia="Times New Roman" w:hAnsiTheme="majorBidi" w:cstheme="majorBidi"/>
          <w:sz w:val="28"/>
          <w:szCs w:val="28"/>
        </w:rPr>
        <w:t xml:space="preserve"> corresponds to trigger on </w:t>
      </w:r>
      <w:r w:rsidRPr="001C1672">
        <w:rPr>
          <w:rFonts w:asciiTheme="majorBidi" w:eastAsia="Times New Roman" w:hAnsiTheme="majorBidi" w:cstheme="majorBidi"/>
          <w:b/>
          <w:bCs/>
          <w:sz w:val="28"/>
          <w:szCs w:val="28"/>
        </w:rPr>
        <w:t>LMP + 12-13 days</w:t>
      </w:r>
      <w:r w:rsidRPr="001C1672">
        <w:rPr>
          <w:rFonts w:asciiTheme="majorBidi" w:eastAsia="Times New Roman" w:hAnsiTheme="majorBidi" w:cstheme="majorBidi"/>
          <w:sz w:val="28"/>
          <w:szCs w:val="28"/>
        </w:rPr>
        <w:t>, representing a moderate ovarian response.</w:t>
      </w:r>
    </w:p>
    <w:p w14:paraId="7649D392" w14:textId="77777777" w:rsidR="001C1672" w:rsidRPr="001C1672" w:rsidRDefault="001C1672" w:rsidP="001C1672">
      <w:pPr>
        <w:numPr>
          <w:ilvl w:val="0"/>
          <w:numId w:val="28"/>
        </w:numPr>
        <w:bidi w:val="0"/>
        <w:spacing w:line="360" w:lineRule="auto"/>
        <w:jc w:val="both"/>
        <w:rPr>
          <w:rFonts w:asciiTheme="majorBidi" w:eastAsia="Times New Roman" w:hAnsiTheme="majorBidi" w:cstheme="majorBidi"/>
          <w:sz w:val="28"/>
          <w:szCs w:val="28"/>
        </w:rPr>
      </w:pPr>
      <w:r w:rsidRPr="001C1672">
        <w:rPr>
          <w:rFonts w:asciiTheme="majorBidi" w:eastAsia="Times New Roman" w:hAnsiTheme="majorBidi" w:cstheme="majorBidi"/>
          <w:sz w:val="28"/>
          <w:szCs w:val="28"/>
        </w:rPr>
        <w:lastRenderedPageBreak/>
        <w:t xml:space="preserve">A score of </w:t>
      </w:r>
      <w:r w:rsidRPr="001C1672">
        <w:rPr>
          <w:rFonts w:asciiTheme="majorBidi" w:eastAsia="Times New Roman" w:hAnsiTheme="majorBidi" w:cstheme="majorBidi"/>
          <w:b/>
          <w:bCs/>
          <w:sz w:val="28"/>
          <w:szCs w:val="28"/>
        </w:rPr>
        <w:t>60-64 points</w:t>
      </w:r>
      <w:r w:rsidRPr="001C1672">
        <w:rPr>
          <w:rFonts w:asciiTheme="majorBidi" w:eastAsia="Times New Roman" w:hAnsiTheme="majorBidi" w:cstheme="majorBidi"/>
          <w:sz w:val="28"/>
          <w:szCs w:val="28"/>
        </w:rPr>
        <w:t xml:space="preserve"> predicts trigger on </w:t>
      </w:r>
      <w:r w:rsidRPr="001C1672">
        <w:rPr>
          <w:rFonts w:asciiTheme="majorBidi" w:eastAsia="Times New Roman" w:hAnsiTheme="majorBidi" w:cstheme="majorBidi"/>
          <w:b/>
          <w:bCs/>
          <w:sz w:val="28"/>
          <w:szCs w:val="28"/>
        </w:rPr>
        <w:t>LMP + 13-14 days</w:t>
      </w:r>
      <w:r w:rsidRPr="001C1672">
        <w:rPr>
          <w:rFonts w:asciiTheme="majorBidi" w:eastAsia="Times New Roman" w:hAnsiTheme="majorBidi" w:cstheme="majorBidi"/>
          <w:sz w:val="28"/>
          <w:szCs w:val="28"/>
        </w:rPr>
        <w:t>, reflecting a more prolonged response, potentially requiring closer monitoring.</w:t>
      </w:r>
    </w:p>
    <w:p w14:paraId="09466C72" w14:textId="77777777" w:rsidR="001C1672" w:rsidRPr="001C1672" w:rsidRDefault="001C1672" w:rsidP="001C1672">
      <w:pPr>
        <w:numPr>
          <w:ilvl w:val="0"/>
          <w:numId w:val="28"/>
        </w:numPr>
        <w:bidi w:val="0"/>
        <w:spacing w:line="360" w:lineRule="auto"/>
        <w:jc w:val="both"/>
        <w:rPr>
          <w:rFonts w:asciiTheme="majorBidi" w:eastAsia="Times New Roman" w:hAnsiTheme="majorBidi" w:cstheme="majorBidi"/>
          <w:sz w:val="28"/>
          <w:szCs w:val="28"/>
        </w:rPr>
      </w:pPr>
      <w:r w:rsidRPr="001C1672">
        <w:rPr>
          <w:rFonts w:asciiTheme="majorBidi" w:eastAsia="Times New Roman" w:hAnsiTheme="majorBidi" w:cstheme="majorBidi"/>
          <w:sz w:val="28"/>
          <w:szCs w:val="28"/>
        </w:rPr>
        <w:t xml:space="preserve">A score of </w:t>
      </w:r>
      <w:r w:rsidRPr="001C1672">
        <w:rPr>
          <w:rFonts w:asciiTheme="majorBidi" w:eastAsia="Times New Roman" w:hAnsiTheme="majorBidi" w:cstheme="majorBidi"/>
          <w:b/>
          <w:bCs/>
          <w:sz w:val="28"/>
          <w:szCs w:val="28"/>
        </w:rPr>
        <w:t>&lt; 60 points</w:t>
      </w:r>
      <w:r w:rsidRPr="001C1672">
        <w:rPr>
          <w:rFonts w:asciiTheme="majorBidi" w:eastAsia="Times New Roman" w:hAnsiTheme="majorBidi" w:cstheme="majorBidi"/>
          <w:sz w:val="28"/>
          <w:szCs w:val="28"/>
        </w:rPr>
        <w:t xml:space="preserve"> suggests trigger on </w:t>
      </w:r>
      <w:r w:rsidRPr="001C1672">
        <w:rPr>
          <w:rFonts w:asciiTheme="majorBidi" w:eastAsia="Times New Roman" w:hAnsiTheme="majorBidi" w:cstheme="majorBidi"/>
          <w:b/>
          <w:bCs/>
          <w:sz w:val="28"/>
          <w:szCs w:val="28"/>
        </w:rPr>
        <w:t>LMP + 14-15 days</w:t>
      </w:r>
      <w:r w:rsidRPr="001C1672">
        <w:rPr>
          <w:rFonts w:asciiTheme="majorBidi" w:eastAsia="Times New Roman" w:hAnsiTheme="majorBidi" w:cstheme="majorBidi"/>
          <w:sz w:val="28"/>
          <w:szCs w:val="28"/>
        </w:rPr>
        <w:t xml:space="preserve"> or the consideration of alternative strategies, such as adjusting the stimulation protocol or considering egg retrieval timing adjustments.</w:t>
      </w:r>
    </w:p>
    <w:p w14:paraId="1D4F44AC" w14:textId="3D01D61E" w:rsidR="0043325D" w:rsidRPr="001C1672" w:rsidRDefault="0043325D" w:rsidP="001C1672">
      <w:pPr>
        <w:bidi w:val="0"/>
        <w:spacing w:line="360" w:lineRule="auto"/>
        <w:jc w:val="both"/>
        <w:rPr>
          <w:rFonts w:asciiTheme="majorBidi" w:hAnsiTheme="majorBidi" w:cstheme="majorBidi"/>
          <w:b/>
          <w:bCs/>
          <w:sz w:val="32"/>
          <w:szCs w:val="32"/>
        </w:rPr>
      </w:pPr>
      <w:r w:rsidRPr="001C1672">
        <w:rPr>
          <w:rFonts w:asciiTheme="majorBidi" w:hAnsiTheme="majorBidi" w:cstheme="majorBidi"/>
          <w:b/>
          <w:bCs/>
          <w:sz w:val="32"/>
          <w:szCs w:val="32"/>
        </w:rPr>
        <w:t>Discussion</w:t>
      </w:r>
    </w:p>
    <w:p w14:paraId="4EA46C8F" w14:textId="3587666C" w:rsidR="00487E99" w:rsidRPr="001C1672" w:rsidRDefault="00487E99" w:rsidP="00146865">
      <w:pPr>
        <w:pStyle w:val="NormalWeb"/>
        <w:spacing w:line="360" w:lineRule="auto"/>
        <w:jc w:val="both"/>
        <w:rPr>
          <w:rFonts w:asciiTheme="majorBidi" w:hAnsiTheme="majorBidi" w:cstheme="majorBidi"/>
          <w:sz w:val="28"/>
          <w:szCs w:val="28"/>
        </w:rPr>
      </w:pPr>
      <w:r w:rsidRPr="001C1672">
        <w:rPr>
          <w:rFonts w:asciiTheme="majorBidi" w:hAnsiTheme="majorBidi" w:cstheme="majorBidi"/>
          <w:sz w:val="28"/>
          <w:szCs w:val="28"/>
        </w:rPr>
        <w:t>It is important to note that this section deviates from the conventional approach typically found in research papers, where the collection and analysis of real-world data are central components. In contrast, the mode</w:t>
      </w:r>
      <w:r w:rsidR="000D0081" w:rsidRPr="001C1672">
        <w:rPr>
          <w:rFonts w:asciiTheme="majorBidi" w:hAnsiTheme="majorBidi" w:cstheme="majorBidi"/>
          <w:sz w:val="28"/>
          <w:szCs w:val="28"/>
        </w:rPr>
        <w:t>ls</w:t>
      </w:r>
      <w:r w:rsidRPr="001C1672">
        <w:rPr>
          <w:rFonts w:asciiTheme="majorBidi" w:hAnsiTheme="majorBidi" w:cstheme="majorBidi"/>
          <w:sz w:val="28"/>
          <w:szCs w:val="28"/>
        </w:rPr>
        <w:t xml:space="preserve"> presented in this study </w:t>
      </w:r>
      <w:proofErr w:type="gramStart"/>
      <w:r w:rsidRPr="001C1672">
        <w:rPr>
          <w:rFonts w:asciiTheme="majorBidi" w:hAnsiTheme="majorBidi" w:cstheme="majorBidi"/>
          <w:sz w:val="28"/>
          <w:szCs w:val="28"/>
        </w:rPr>
        <w:t>was</w:t>
      </w:r>
      <w:proofErr w:type="gramEnd"/>
      <w:r w:rsidRPr="001C1672">
        <w:rPr>
          <w:rFonts w:asciiTheme="majorBidi" w:hAnsiTheme="majorBidi" w:cstheme="majorBidi"/>
          <w:sz w:val="28"/>
          <w:szCs w:val="28"/>
        </w:rPr>
        <w:t xml:space="preserve"> developed within a theoretical framework, with no real-world patient data utilized.</w:t>
      </w:r>
    </w:p>
    <w:p w14:paraId="6BF2973E" w14:textId="58D07ABA" w:rsidR="00487E99" w:rsidRPr="001C1672" w:rsidRDefault="00487E99" w:rsidP="00146865">
      <w:pPr>
        <w:pStyle w:val="NormalWeb"/>
        <w:spacing w:line="360" w:lineRule="auto"/>
        <w:jc w:val="both"/>
        <w:rPr>
          <w:rFonts w:asciiTheme="majorBidi" w:hAnsiTheme="majorBidi" w:cstheme="majorBidi"/>
          <w:sz w:val="28"/>
          <w:szCs w:val="28"/>
        </w:rPr>
      </w:pPr>
      <w:r w:rsidRPr="001C1672">
        <w:rPr>
          <w:rFonts w:asciiTheme="majorBidi" w:hAnsiTheme="majorBidi" w:cstheme="majorBidi"/>
          <w:sz w:val="28"/>
          <w:szCs w:val="28"/>
        </w:rPr>
        <w:t>This study serves as a hypothetical example, illustrating the process of model development in reproductive medicine. The actual creation and validation of a predictive model would necessitate access to real-world clinical data, as well as specialized expertise in both machine learning and reproductive medicine. Consequently, while this theoretical model serves as a conceptual foundation, the practical implementation and refinement of such models would require empirical data to ensure their accuracy and applicability in clinical practice.</w:t>
      </w:r>
    </w:p>
    <w:p w14:paraId="505741A4" w14:textId="29051226" w:rsidR="00F87BF9" w:rsidRPr="001C1672" w:rsidRDefault="00F87BF9" w:rsidP="000D0081">
      <w:pPr>
        <w:pStyle w:val="NormalWeb"/>
        <w:spacing w:line="360" w:lineRule="auto"/>
        <w:rPr>
          <w:rFonts w:asciiTheme="majorBidi" w:hAnsiTheme="majorBidi" w:cstheme="majorBidi"/>
          <w:b/>
          <w:bCs/>
          <w:sz w:val="32"/>
          <w:szCs w:val="32"/>
        </w:rPr>
      </w:pPr>
      <w:r w:rsidRPr="001C1672">
        <w:rPr>
          <w:rFonts w:asciiTheme="majorBidi" w:hAnsiTheme="majorBidi" w:cstheme="majorBidi"/>
          <w:b/>
          <w:bCs/>
          <w:sz w:val="32"/>
          <w:szCs w:val="32"/>
        </w:rPr>
        <w:t>Limitations</w:t>
      </w:r>
    </w:p>
    <w:p w14:paraId="32AB6379" w14:textId="5F11FA99" w:rsidR="00F87BF9" w:rsidRPr="001C1672" w:rsidRDefault="00F87BF9" w:rsidP="00146865">
      <w:pPr>
        <w:pStyle w:val="NormalWeb"/>
        <w:spacing w:line="360" w:lineRule="auto"/>
        <w:jc w:val="both"/>
        <w:rPr>
          <w:rFonts w:asciiTheme="majorBidi" w:hAnsiTheme="majorBidi" w:cstheme="majorBidi"/>
          <w:sz w:val="28"/>
          <w:szCs w:val="28"/>
        </w:rPr>
      </w:pPr>
      <w:r w:rsidRPr="001C1672">
        <w:rPr>
          <w:rFonts w:asciiTheme="majorBidi" w:hAnsiTheme="majorBidi" w:cstheme="majorBidi"/>
          <w:sz w:val="28"/>
          <w:szCs w:val="28"/>
        </w:rPr>
        <w:t xml:space="preserve">The limitations of the predictive model were carefully considered, including the absence of real-world validation, which restricts its generalizability and applicability to clinical practice. Additionally, the potential for bias in the model's predictions, arising from the reliance on a theoretical framework rather than empirical data, must </w:t>
      </w:r>
      <w:r w:rsidRPr="001C1672">
        <w:rPr>
          <w:rFonts w:asciiTheme="majorBidi" w:hAnsiTheme="majorBidi" w:cstheme="majorBidi"/>
          <w:sz w:val="28"/>
          <w:szCs w:val="28"/>
        </w:rPr>
        <w:lastRenderedPageBreak/>
        <w:t>be acknowledged. These factors highlight the need for further validation and refinement to enhance the model’s accuracy and clinical utility.</w:t>
      </w:r>
    </w:p>
    <w:p w14:paraId="18178CD5" w14:textId="29431E8A" w:rsidR="0043325D" w:rsidRPr="001C1672" w:rsidRDefault="0043325D" w:rsidP="000D0081">
      <w:pPr>
        <w:pStyle w:val="NormalWeb"/>
        <w:spacing w:line="360" w:lineRule="auto"/>
        <w:rPr>
          <w:rFonts w:asciiTheme="majorBidi" w:hAnsiTheme="majorBidi" w:cstheme="majorBidi"/>
          <w:b/>
          <w:bCs/>
          <w:sz w:val="32"/>
          <w:szCs w:val="32"/>
        </w:rPr>
      </w:pPr>
      <w:r w:rsidRPr="001C1672">
        <w:rPr>
          <w:rFonts w:asciiTheme="majorBidi" w:hAnsiTheme="majorBidi" w:cstheme="majorBidi"/>
          <w:b/>
          <w:bCs/>
          <w:sz w:val="32"/>
          <w:szCs w:val="32"/>
        </w:rPr>
        <w:t>Future directions</w:t>
      </w:r>
    </w:p>
    <w:p w14:paraId="24BF480D" w14:textId="77777777" w:rsidR="000D0081" w:rsidRPr="001C1672" w:rsidRDefault="000D0081" w:rsidP="00146865">
      <w:pPr>
        <w:pStyle w:val="NormalWeb"/>
        <w:spacing w:line="360" w:lineRule="auto"/>
        <w:jc w:val="both"/>
        <w:rPr>
          <w:rFonts w:asciiTheme="majorBidi" w:hAnsiTheme="majorBidi" w:cstheme="majorBidi"/>
          <w:color w:val="222222"/>
          <w:sz w:val="28"/>
          <w:szCs w:val="28"/>
          <w:shd w:val="clear" w:color="auto" w:fill="FFFFFF"/>
        </w:rPr>
      </w:pPr>
      <w:r w:rsidRPr="001C1672">
        <w:rPr>
          <w:rFonts w:asciiTheme="majorBidi" w:hAnsiTheme="majorBidi" w:cstheme="majorBidi"/>
          <w:color w:val="222222"/>
          <w:sz w:val="28"/>
          <w:szCs w:val="28"/>
          <w:shd w:val="clear" w:color="auto" w:fill="FFFFFF"/>
        </w:rPr>
        <w:t>Future research should focus on the collection and analysis of real-world clinical data to rigorously validate and refine the predictive model. Additionally, further investigation into alternative machine learning algorithms and advanced computational techniques may provide opportunities for enhancing the model’s accuracy and robustness. Expanding these efforts will be crucial for ensuring the model's clinical relevance and effectiveness in guiding ovulation trigger decisions.</w:t>
      </w:r>
    </w:p>
    <w:p w14:paraId="33397C4B" w14:textId="6E328FB0" w:rsidR="0043325D" w:rsidRPr="001C1672" w:rsidRDefault="0043325D" w:rsidP="000D0081">
      <w:pPr>
        <w:pStyle w:val="NormalWeb"/>
        <w:spacing w:line="360" w:lineRule="auto"/>
        <w:rPr>
          <w:rFonts w:asciiTheme="majorBidi" w:hAnsiTheme="majorBidi" w:cstheme="majorBidi"/>
          <w:color w:val="222222"/>
          <w:sz w:val="32"/>
          <w:szCs w:val="32"/>
          <w:shd w:val="clear" w:color="auto" w:fill="FFFFFF"/>
        </w:rPr>
      </w:pPr>
      <w:r w:rsidRPr="001C1672">
        <w:rPr>
          <w:rFonts w:asciiTheme="majorBidi" w:hAnsiTheme="majorBidi" w:cstheme="majorBidi"/>
          <w:b/>
          <w:bCs/>
          <w:color w:val="222222"/>
          <w:sz w:val="32"/>
          <w:szCs w:val="32"/>
          <w:shd w:val="clear" w:color="auto" w:fill="FFFFFF"/>
        </w:rPr>
        <w:t>Conclusion</w:t>
      </w:r>
    </w:p>
    <w:p w14:paraId="7676B20B" w14:textId="5E2323A9" w:rsidR="0043325D" w:rsidRPr="001C1672" w:rsidRDefault="000A1D89" w:rsidP="00146865">
      <w:pPr>
        <w:bidi w:val="0"/>
        <w:spacing w:line="360" w:lineRule="auto"/>
        <w:jc w:val="both"/>
        <w:rPr>
          <w:rFonts w:asciiTheme="majorBidi" w:hAnsiTheme="majorBidi" w:cstheme="majorBidi"/>
          <w:b/>
          <w:bCs/>
          <w:sz w:val="28"/>
          <w:szCs w:val="28"/>
          <w:shd w:val="clear" w:color="auto" w:fill="FFFFFF"/>
        </w:rPr>
      </w:pPr>
      <w:r w:rsidRPr="001C1672">
        <w:rPr>
          <w:rFonts w:asciiTheme="majorBidi" w:eastAsia="Times New Roman" w:hAnsiTheme="majorBidi" w:cstheme="majorBidi"/>
          <w:color w:val="222222"/>
          <w:sz w:val="28"/>
          <w:szCs w:val="28"/>
          <w:shd w:val="clear" w:color="auto" w:fill="FFFFFF"/>
        </w:rPr>
        <w:t>While the three models presented herein offer valuable theoretical frameworks for predicting the optimal timing of ovulation trigger administration, based on factors such as follicular development, hormonal profiles, and patient-specific characteristics, they remain hypothetical and necessitate further validation and refinement. To enhance the accuracy and clinical applicability of these predictive models, it is imperative to incorporate individualized patient parameters, tailored stimulation protocols, and clinic-specific guidelines. Such integrations will be crucial for optimizing the utility of these models in clinical decision-making and improving the outcomes of assisted reproductive technologies.</w:t>
      </w:r>
    </w:p>
    <w:p w14:paraId="061D47AC" w14:textId="21642FC7" w:rsidR="00D62E40" w:rsidRPr="001C1672" w:rsidRDefault="009726CE" w:rsidP="002A2261">
      <w:pPr>
        <w:bidi w:val="0"/>
        <w:spacing w:line="360" w:lineRule="auto"/>
        <w:jc w:val="both"/>
        <w:rPr>
          <w:rFonts w:asciiTheme="majorBidi" w:hAnsiTheme="majorBidi" w:cstheme="majorBidi"/>
          <w:b/>
          <w:bCs/>
          <w:sz w:val="32"/>
          <w:szCs w:val="32"/>
          <w:shd w:val="clear" w:color="auto" w:fill="FFFFFF"/>
        </w:rPr>
      </w:pPr>
      <w:r w:rsidRPr="001C1672">
        <w:rPr>
          <w:rFonts w:asciiTheme="majorBidi" w:hAnsiTheme="majorBidi" w:cstheme="majorBidi"/>
          <w:b/>
          <w:bCs/>
          <w:sz w:val="32"/>
          <w:szCs w:val="32"/>
          <w:shd w:val="clear" w:color="auto" w:fill="FFFFFF"/>
        </w:rPr>
        <w:t>References</w:t>
      </w:r>
    </w:p>
    <w:p w14:paraId="0870C13A" w14:textId="77777777" w:rsidR="003E7397" w:rsidRPr="001C1672" w:rsidRDefault="00F21CF3" w:rsidP="008167EC">
      <w:pPr>
        <w:pStyle w:val="Bibliography"/>
        <w:bidi w:val="0"/>
        <w:spacing w:line="360" w:lineRule="auto"/>
        <w:jc w:val="both"/>
        <w:rPr>
          <w:rFonts w:asciiTheme="majorBidi" w:hAnsiTheme="majorBidi" w:cstheme="majorBidi"/>
          <w:sz w:val="28"/>
          <w:szCs w:val="28"/>
        </w:rPr>
      </w:pPr>
      <w:r w:rsidRPr="001C1672">
        <w:rPr>
          <w:rFonts w:asciiTheme="majorBidi" w:hAnsiTheme="majorBidi" w:cstheme="majorBidi"/>
          <w:sz w:val="28"/>
          <w:szCs w:val="28"/>
        </w:rPr>
        <w:fldChar w:fldCharType="begin"/>
      </w:r>
      <w:r w:rsidR="00493A66" w:rsidRPr="001C1672">
        <w:rPr>
          <w:rFonts w:asciiTheme="majorBidi" w:hAnsiTheme="majorBidi" w:cstheme="majorBidi"/>
          <w:sz w:val="28"/>
          <w:szCs w:val="28"/>
        </w:rPr>
        <w:instrText xml:space="preserve"> ADDIN ZOTERO_BIBL {"uncited":[],"omitted":[],"custom":[]} CSL_BIBLIOGRAPHY </w:instrText>
      </w:r>
      <w:r w:rsidRPr="001C1672">
        <w:rPr>
          <w:rFonts w:asciiTheme="majorBidi" w:hAnsiTheme="majorBidi" w:cstheme="majorBidi"/>
          <w:sz w:val="28"/>
          <w:szCs w:val="28"/>
        </w:rPr>
        <w:fldChar w:fldCharType="separate"/>
      </w:r>
      <w:r w:rsidR="003E7397" w:rsidRPr="001C1672">
        <w:rPr>
          <w:rFonts w:asciiTheme="majorBidi" w:hAnsiTheme="majorBidi" w:cstheme="majorBidi"/>
          <w:sz w:val="28"/>
          <w:szCs w:val="28"/>
        </w:rPr>
        <w:t>1.</w:t>
      </w:r>
      <w:r w:rsidR="003E7397" w:rsidRPr="001C1672">
        <w:rPr>
          <w:rFonts w:asciiTheme="majorBidi" w:hAnsiTheme="majorBidi" w:cstheme="majorBidi"/>
          <w:sz w:val="28"/>
          <w:szCs w:val="28"/>
        </w:rPr>
        <w:tab/>
        <w:t xml:space="preserve">Dosouto C, Haahr T, Humaidan P. Advances in ovulation trigger strategies. Panminerva Med. 2019 Mar;61(1):42–51. </w:t>
      </w:r>
    </w:p>
    <w:p w14:paraId="68B175DB" w14:textId="77777777" w:rsidR="003E7397" w:rsidRPr="001C1672" w:rsidRDefault="003E7397" w:rsidP="008167EC">
      <w:pPr>
        <w:pStyle w:val="Bibliography"/>
        <w:bidi w:val="0"/>
        <w:spacing w:line="360" w:lineRule="auto"/>
        <w:jc w:val="both"/>
        <w:rPr>
          <w:rFonts w:asciiTheme="majorBidi" w:hAnsiTheme="majorBidi" w:cstheme="majorBidi"/>
          <w:sz w:val="28"/>
          <w:szCs w:val="28"/>
        </w:rPr>
      </w:pPr>
      <w:r w:rsidRPr="001C1672">
        <w:rPr>
          <w:rFonts w:asciiTheme="majorBidi" w:hAnsiTheme="majorBidi" w:cstheme="majorBidi"/>
          <w:sz w:val="28"/>
          <w:szCs w:val="28"/>
        </w:rPr>
        <w:lastRenderedPageBreak/>
        <w:t>2.</w:t>
      </w:r>
      <w:r w:rsidRPr="001C1672">
        <w:rPr>
          <w:rFonts w:asciiTheme="majorBidi" w:hAnsiTheme="majorBidi" w:cstheme="majorBidi"/>
          <w:sz w:val="28"/>
          <w:szCs w:val="28"/>
        </w:rPr>
        <w:tab/>
        <w:t xml:space="preserve">Voronina E, Wessel GM. The regulation of oocyte maturation. Curr Top Dev Biol. 2003;58:53–110. </w:t>
      </w:r>
    </w:p>
    <w:p w14:paraId="7B033DB4" w14:textId="77777777" w:rsidR="003E7397" w:rsidRPr="001C1672" w:rsidRDefault="003E7397" w:rsidP="008167EC">
      <w:pPr>
        <w:pStyle w:val="Bibliography"/>
        <w:bidi w:val="0"/>
        <w:spacing w:line="360" w:lineRule="auto"/>
        <w:jc w:val="both"/>
        <w:rPr>
          <w:rFonts w:asciiTheme="majorBidi" w:hAnsiTheme="majorBidi" w:cstheme="majorBidi"/>
          <w:sz w:val="28"/>
          <w:szCs w:val="28"/>
        </w:rPr>
      </w:pPr>
      <w:r w:rsidRPr="001C1672">
        <w:rPr>
          <w:rFonts w:asciiTheme="majorBidi" w:hAnsiTheme="majorBidi" w:cstheme="majorBidi"/>
          <w:sz w:val="28"/>
          <w:szCs w:val="28"/>
        </w:rPr>
        <w:t>3.</w:t>
      </w:r>
      <w:r w:rsidRPr="001C1672">
        <w:rPr>
          <w:rFonts w:asciiTheme="majorBidi" w:hAnsiTheme="majorBidi" w:cstheme="majorBidi"/>
          <w:sz w:val="28"/>
          <w:szCs w:val="28"/>
        </w:rPr>
        <w:tab/>
        <w:t xml:space="preserve">Palomba S, Santagni S, La Sala GB. Progesterone administration for luteal phase deficiency in human reproduction: an old or new issue? J Ovarian Res. 2015 Nov 19;8:77. </w:t>
      </w:r>
    </w:p>
    <w:p w14:paraId="466318DA" w14:textId="77777777" w:rsidR="003E7397" w:rsidRPr="001C1672" w:rsidRDefault="003E7397" w:rsidP="008167EC">
      <w:pPr>
        <w:pStyle w:val="Bibliography"/>
        <w:bidi w:val="0"/>
        <w:spacing w:line="360" w:lineRule="auto"/>
        <w:jc w:val="both"/>
        <w:rPr>
          <w:rFonts w:asciiTheme="majorBidi" w:hAnsiTheme="majorBidi" w:cstheme="majorBidi"/>
          <w:sz w:val="28"/>
          <w:szCs w:val="28"/>
        </w:rPr>
      </w:pPr>
      <w:r w:rsidRPr="001C1672">
        <w:rPr>
          <w:rFonts w:asciiTheme="majorBidi" w:hAnsiTheme="majorBidi" w:cstheme="majorBidi"/>
          <w:sz w:val="28"/>
          <w:szCs w:val="28"/>
        </w:rPr>
        <w:t>4.</w:t>
      </w:r>
      <w:r w:rsidRPr="001C1672">
        <w:rPr>
          <w:rFonts w:asciiTheme="majorBidi" w:hAnsiTheme="majorBidi" w:cstheme="majorBidi"/>
          <w:sz w:val="28"/>
          <w:szCs w:val="28"/>
        </w:rPr>
        <w:tab/>
        <w:t xml:space="preserve">Shapiro BS, Daneshmand ST, Garner FC, Aguirre M, Hudson C, Thomas S. Evidence of impaired endometrial receptivity after ovarian stimulation for in vitro fertilization: a prospective randomized trial comparing fresh and  frozen-thawed embryo transfer in normal responders. Fertil Steril. 2011 Aug;96(2):344–8. </w:t>
      </w:r>
    </w:p>
    <w:p w14:paraId="62BD43C7" w14:textId="77777777" w:rsidR="003E7397" w:rsidRPr="001C1672" w:rsidRDefault="003E7397" w:rsidP="008167EC">
      <w:pPr>
        <w:pStyle w:val="Bibliography"/>
        <w:bidi w:val="0"/>
        <w:spacing w:line="360" w:lineRule="auto"/>
        <w:jc w:val="both"/>
        <w:rPr>
          <w:rFonts w:asciiTheme="majorBidi" w:hAnsiTheme="majorBidi" w:cstheme="majorBidi"/>
          <w:sz w:val="28"/>
          <w:szCs w:val="28"/>
        </w:rPr>
      </w:pPr>
      <w:r w:rsidRPr="001C1672">
        <w:rPr>
          <w:rFonts w:asciiTheme="majorBidi" w:hAnsiTheme="majorBidi" w:cstheme="majorBidi"/>
          <w:sz w:val="28"/>
          <w:szCs w:val="28"/>
        </w:rPr>
        <w:t>5.</w:t>
      </w:r>
      <w:r w:rsidRPr="001C1672">
        <w:rPr>
          <w:rFonts w:asciiTheme="majorBidi" w:hAnsiTheme="majorBidi" w:cstheme="majorBidi"/>
          <w:sz w:val="28"/>
          <w:szCs w:val="28"/>
        </w:rPr>
        <w:tab/>
        <w:t xml:space="preserve">Skorupskaite K, George JT, Anderson RA. The kisspeptin-GnRH pathway in human reproductive health and disease. Hum Reprod Update. 2014 Aug;20(4):485–500. </w:t>
      </w:r>
    </w:p>
    <w:p w14:paraId="11DE084E" w14:textId="77777777" w:rsidR="003E7397" w:rsidRPr="001C1672" w:rsidRDefault="003E7397" w:rsidP="008167EC">
      <w:pPr>
        <w:pStyle w:val="Bibliography"/>
        <w:bidi w:val="0"/>
        <w:spacing w:line="360" w:lineRule="auto"/>
        <w:jc w:val="both"/>
        <w:rPr>
          <w:rFonts w:asciiTheme="majorBidi" w:hAnsiTheme="majorBidi" w:cstheme="majorBidi"/>
          <w:sz w:val="28"/>
          <w:szCs w:val="28"/>
        </w:rPr>
      </w:pPr>
      <w:r w:rsidRPr="001C1672">
        <w:rPr>
          <w:rFonts w:asciiTheme="majorBidi" w:hAnsiTheme="majorBidi" w:cstheme="majorBidi"/>
          <w:sz w:val="28"/>
          <w:szCs w:val="28"/>
        </w:rPr>
        <w:t>6.</w:t>
      </w:r>
      <w:r w:rsidRPr="001C1672">
        <w:rPr>
          <w:rFonts w:asciiTheme="majorBidi" w:hAnsiTheme="majorBidi" w:cstheme="majorBidi"/>
          <w:sz w:val="28"/>
          <w:szCs w:val="28"/>
        </w:rPr>
        <w:tab/>
        <w:t xml:space="preserve">Hu X, Luo Y, Huang K, Li Y, Xu Y, Zhou C, et al. New Perspectives on Criteria for the Determination of HCG Trigger Timing in GnRH Antagonist Cycles. Medicine (Baltimore). 2016 May;95(20):e3691. </w:t>
      </w:r>
    </w:p>
    <w:p w14:paraId="0DF1581A" w14:textId="77777777" w:rsidR="003E7397" w:rsidRPr="001C1672" w:rsidRDefault="003E7397" w:rsidP="008167EC">
      <w:pPr>
        <w:pStyle w:val="Bibliography"/>
        <w:bidi w:val="0"/>
        <w:spacing w:line="360" w:lineRule="auto"/>
        <w:jc w:val="both"/>
        <w:rPr>
          <w:rFonts w:asciiTheme="majorBidi" w:hAnsiTheme="majorBidi" w:cstheme="majorBidi"/>
          <w:sz w:val="28"/>
          <w:szCs w:val="28"/>
        </w:rPr>
      </w:pPr>
      <w:r w:rsidRPr="001C1672">
        <w:rPr>
          <w:rFonts w:asciiTheme="majorBidi" w:hAnsiTheme="majorBidi" w:cstheme="majorBidi"/>
          <w:sz w:val="28"/>
          <w:szCs w:val="28"/>
        </w:rPr>
        <w:t>7.</w:t>
      </w:r>
      <w:r w:rsidRPr="001C1672">
        <w:rPr>
          <w:rFonts w:asciiTheme="majorBidi" w:hAnsiTheme="majorBidi" w:cstheme="majorBidi"/>
          <w:sz w:val="28"/>
          <w:szCs w:val="28"/>
        </w:rPr>
        <w:tab/>
        <w:t xml:space="preserve">Simonetti S, Veeck LL, Jones HWJ. Correlation of follicular fluid volume with oocyte morphology from follicles stimulated by human menopausal gonadotropin. Fertil Steril. 1985 Aug;44(2):177–80. </w:t>
      </w:r>
    </w:p>
    <w:p w14:paraId="7ECDA705" w14:textId="77777777" w:rsidR="003E7397" w:rsidRPr="001C1672" w:rsidRDefault="003E7397" w:rsidP="008167EC">
      <w:pPr>
        <w:pStyle w:val="Bibliography"/>
        <w:bidi w:val="0"/>
        <w:spacing w:line="360" w:lineRule="auto"/>
        <w:jc w:val="both"/>
        <w:rPr>
          <w:rFonts w:asciiTheme="majorBidi" w:hAnsiTheme="majorBidi" w:cstheme="majorBidi"/>
          <w:sz w:val="28"/>
          <w:szCs w:val="28"/>
        </w:rPr>
      </w:pPr>
      <w:r w:rsidRPr="001C1672">
        <w:rPr>
          <w:rFonts w:asciiTheme="majorBidi" w:hAnsiTheme="majorBidi" w:cstheme="majorBidi"/>
          <w:sz w:val="28"/>
          <w:szCs w:val="28"/>
        </w:rPr>
        <w:t>8.</w:t>
      </w:r>
      <w:r w:rsidRPr="001C1672">
        <w:rPr>
          <w:rFonts w:asciiTheme="majorBidi" w:hAnsiTheme="majorBidi" w:cstheme="majorBidi"/>
          <w:sz w:val="28"/>
          <w:szCs w:val="28"/>
        </w:rPr>
        <w:tab/>
        <w:t xml:space="preserve">Scott RT, Hofmann GE, Muasher SJ, Acosta AA, Kreiner DK, Rosenwaks Z. Correlation of follicular diameter with oocyte recovery and maturity at the time of transvaginal follicular aspiration. J Vitro Fertil Embryo Transf IVF. 1989 Apr;6(2):73–5. </w:t>
      </w:r>
    </w:p>
    <w:p w14:paraId="328D7942" w14:textId="77777777" w:rsidR="003E7397" w:rsidRPr="001C1672" w:rsidRDefault="003E7397" w:rsidP="008167EC">
      <w:pPr>
        <w:pStyle w:val="Bibliography"/>
        <w:bidi w:val="0"/>
        <w:spacing w:line="360" w:lineRule="auto"/>
        <w:jc w:val="both"/>
        <w:rPr>
          <w:rFonts w:asciiTheme="majorBidi" w:hAnsiTheme="majorBidi" w:cstheme="majorBidi"/>
          <w:sz w:val="28"/>
          <w:szCs w:val="28"/>
        </w:rPr>
      </w:pPr>
      <w:r w:rsidRPr="001C1672">
        <w:rPr>
          <w:rFonts w:asciiTheme="majorBidi" w:hAnsiTheme="majorBidi" w:cstheme="majorBidi"/>
          <w:sz w:val="28"/>
          <w:szCs w:val="28"/>
        </w:rPr>
        <w:lastRenderedPageBreak/>
        <w:t>9.</w:t>
      </w:r>
      <w:r w:rsidRPr="001C1672">
        <w:rPr>
          <w:rFonts w:asciiTheme="majorBidi" w:hAnsiTheme="majorBidi" w:cstheme="majorBidi"/>
          <w:sz w:val="28"/>
          <w:szCs w:val="28"/>
        </w:rPr>
        <w:tab/>
        <w:t xml:space="preserve">Dubey AK, Wang HA, Duffy P, Penzias AS. The correlation between follicular measurements, oocyte morphology, and fertilization rates in an in vitro fertilization program. Fertil Steril. 1995 Oct;64(4):787–90. </w:t>
      </w:r>
    </w:p>
    <w:p w14:paraId="787197FD" w14:textId="77777777" w:rsidR="003E7397" w:rsidRPr="001C1672" w:rsidRDefault="003E7397" w:rsidP="008167EC">
      <w:pPr>
        <w:pStyle w:val="Bibliography"/>
        <w:bidi w:val="0"/>
        <w:spacing w:line="360" w:lineRule="auto"/>
        <w:jc w:val="both"/>
        <w:rPr>
          <w:rFonts w:asciiTheme="majorBidi" w:hAnsiTheme="majorBidi" w:cstheme="majorBidi"/>
          <w:sz w:val="28"/>
          <w:szCs w:val="28"/>
        </w:rPr>
      </w:pPr>
      <w:r w:rsidRPr="001C1672">
        <w:rPr>
          <w:rFonts w:asciiTheme="majorBidi" w:hAnsiTheme="majorBidi" w:cstheme="majorBidi"/>
          <w:sz w:val="28"/>
          <w:szCs w:val="28"/>
        </w:rPr>
        <w:t>10.</w:t>
      </w:r>
      <w:r w:rsidRPr="001C1672">
        <w:rPr>
          <w:rFonts w:asciiTheme="majorBidi" w:hAnsiTheme="majorBidi" w:cstheme="majorBidi"/>
          <w:sz w:val="28"/>
          <w:szCs w:val="28"/>
        </w:rPr>
        <w:tab/>
        <w:t xml:space="preserve">Ectors FJ, Vanderzwalmen P, Van Hoeck J, Nijs M, Verhaegen G, Delvigne A, et al. Relationship of human follicular diameter with oocyte fertilization and development after in-vitro fertilization or intracytoplasmic sperm injection. Hum Reprod Oxf Engl. 1997 Sep;12(9):2002–5. </w:t>
      </w:r>
    </w:p>
    <w:p w14:paraId="38E0BBE6" w14:textId="77777777" w:rsidR="003E7397" w:rsidRPr="001C1672" w:rsidRDefault="003E7397" w:rsidP="008167EC">
      <w:pPr>
        <w:pStyle w:val="Bibliography"/>
        <w:bidi w:val="0"/>
        <w:spacing w:line="360" w:lineRule="auto"/>
        <w:jc w:val="both"/>
        <w:rPr>
          <w:rFonts w:asciiTheme="majorBidi" w:hAnsiTheme="majorBidi" w:cstheme="majorBidi"/>
          <w:sz w:val="28"/>
          <w:szCs w:val="28"/>
        </w:rPr>
      </w:pPr>
      <w:r w:rsidRPr="001C1672">
        <w:rPr>
          <w:rFonts w:asciiTheme="majorBidi" w:hAnsiTheme="majorBidi" w:cstheme="majorBidi"/>
          <w:sz w:val="28"/>
          <w:szCs w:val="28"/>
        </w:rPr>
        <w:t>11.</w:t>
      </w:r>
      <w:r w:rsidRPr="001C1672">
        <w:rPr>
          <w:rFonts w:asciiTheme="majorBidi" w:hAnsiTheme="majorBidi" w:cstheme="majorBidi"/>
          <w:sz w:val="28"/>
          <w:szCs w:val="28"/>
        </w:rPr>
        <w:tab/>
        <w:t xml:space="preserve">Bergh C, Broden H, Lundin K, Hamberger L. Comparison of fertilization, cleavage and pregnancy rates of oocytes from large and small follicles. Hum Reprod Oxf Engl. 1998 Jul;13(7):1912–5. </w:t>
      </w:r>
    </w:p>
    <w:p w14:paraId="20952B1E" w14:textId="77777777" w:rsidR="003E7397" w:rsidRPr="001C1672" w:rsidRDefault="003E7397" w:rsidP="008167EC">
      <w:pPr>
        <w:pStyle w:val="Bibliography"/>
        <w:bidi w:val="0"/>
        <w:spacing w:line="360" w:lineRule="auto"/>
        <w:jc w:val="both"/>
        <w:rPr>
          <w:rFonts w:asciiTheme="majorBidi" w:hAnsiTheme="majorBidi" w:cstheme="majorBidi"/>
          <w:sz w:val="28"/>
          <w:szCs w:val="28"/>
        </w:rPr>
      </w:pPr>
      <w:r w:rsidRPr="001C1672">
        <w:rPr>
          <w:rFonts w:asciiTheme="majorBidi" w:hAnsiTheme="majorBidi" w:cstheme="majorBidi"/>
          <w:sz w:val="28"/>
          <w:szCs w:val="28"/>
        </w:rPr>
        <w:t>12.</w:t>
      </w:r>
      <w:r w:rsidRPr="001C1672">
        <w:rPr>
          <w:rFonts w:asciiTheme="majorBidi" w:hAnsiTheme="majorBidi" w:cstheme="majorBidi"/>
          <w:sz w:val="28"/>
          <w:szCs w:val="28"/>
        </w:rPr>
        <w:tab/>
        <w:t xml:space="preserve">Rosen MP, Shen S, Dobson AT, Rinaudo PF, McCulloch CE, Cedars MI. A quantitative assessment of follicle size on oocyte developmental competence. Fertil Steril. 2008 Sep;90(3):684–90. </w:t>
      </w:r>
    </w:p>
    <w:p w14:paraId="15A3D918" w14:textId="77777777" w:rsidR="003E7397" w:rsidRPr="001C1672" w:rsidRDefault="003E7397" w:rsidP="008167EC">
      <w:pPr>
        <w:pStyle w:val="Bibliography"/>
        <w:bidi w:val="0"/>
        <w:spacing w:line="360" w:lineRule="auto"/>
        <w:jc w:val="both"/>
        <w:rPr>
          <w:rFonts w:asciiTheme="majorBidi" w:hAnsiTheme="majorBidi" w:cstheme="majorBidi"/>
          <w:sz w:val="28"/>
          <w:szCs w:val="28"/>
        </w:rPr>
      </w:pPr>
      <w:r w:rsidRPr="001C1672">
        <w:rPr>
          <w:rFonts w:asciiTheme="majorBidi" w:hAnsiTheme="majorBidi" w:cstheme="majorBidi"/>
          <w:sz w:val="28"/>
          <w:szCs w:val="28"/>
        </w:rPr>
        <w:t>13.</w:t>
      </w:r>
      <w:r w:rsidRPr="001C1672">
        <w:rPr>
          <w:rFonts w:asciiTheme="majorBidi" w:hAnsiTheme="majorBidi" w:cstheme="majorBidi"/>
          <w:sz w:val="28"/>
          <w:szCs w:val="28"/>
        </w:rPr>
        <w:tab/>
        <w:t xml:space="preserve">Clark L, Stanger J, Brinsmead M. Prolonged follicle stimulation decreases pregnancy rates after in vitro fertilization. Fertil Steril. 1991 Jun;55(6):1192–4. </w:t>
      </w:r>
    </w:p>
    <w:p w14:paraId="49CC343A" w14:textId="77777777" w:rsidR="003E7397" w:rsidRPr="001C1672" w:rsidRDefault="003E7397" w:rsidP="008167EC">
      <w:pPr>
        <w:pStyle w:val="Bibliography"/>
        <w:bidi w:val="0"/>
        <w:spacing w:line="360" w:lineRule="auto"/>
        <w:jc w:val="both"/>
        <w:rPr>
          <w:rFonts w:asciiTheme="majorBidi" w:hAnsiTheme="majorBidi" w:cstheme="majorBidi"/>
          <w:sz w:val="28"/>
          <w:szCs w:val="28"/>
        </w:rPr>
      </w:pPr>
      <w:r w:rsidRPr="001C1672">
        <w:rPr>
          <w:rFonts w:asciiTheme="majorBidi" w:hAnsiTheme="majorBidi" w:cstheme="majorBidi"/>
          <w:sz w:val="28"/>
          <w:szCs w:val="28"/>
        </w:rPr>
        <w:t>14.</w:t>
      </w:r>
      <w:r w:rsidRPr="001C1672">
        <w:rPr>
          <w:rFonts w:asciiTheme="majorBidi" w:hAnsiTheme="majorBidi" w:cstheme="majorBidi"/>
          <w:sz w:val="28"/>
          <w:szCs w:val="28"/>
        </w:rPr>
        <w:tab/>
        <w:t xml:space="preserve">Inaudi P, Germond M, Senn A, De Grandi P. Timing of hCG administration in cycles stimulated for in vitro fertilization: specific impact of heterogeneous follicle sizes and steroid concentrations in  plasma and follicle fluid on decision procedures. Gynecol Endocrinol Off J Int Soc Gynecol Endocrinol. 1995 Sep;9(3):201–8. </w:t>
      </w:r>
    </w:p>
    <w:p w14:paraId="39FC6BFD" w14:textId="77777777" w:rsidR="003E7397" w:rsidRPr="001C1672" w:rsidRDefault="003E7397" w:rsidP="008167EC">
      <w:pPr>
        <w:pStyle w:val="Bibliography"/>
        <w:bidi w:val="0"/>
        <w:spacing w:line="360" w:lineRule="auto"/>
        <w:jc w:val="both"/>
        <w:rPr>
          <w:rFonts w:asciiTheme="majorBidi" w:hAnsiTheme="majorBidi" w:cstheme="majorBidi"/>
          <w:sz w:val="28"/>
          <w:szCs w:val="28"/>
        </w:rPr>
      </w:pPr>
      <w:r w:rsidRPr="001C1672">
        <w:rPr>
          <w:rFonts w:asciiTheme="majorBidi" w:hAnsiTheme="majorBidi" w:cstheme="majorBidi"/>
          <w:sz w:val="28"/>
          <w:szCs w:val="28"/>
        </w:rPr>
        <w:t>15.</w:t>
      </w:r>
      <w:r w:rsidRPr="001C1672">
        <w:rPr>
          <w:rFonts w:asciiTheme="majorBidi" w:hAnsiTheme="majorBidi" w:cstheme="majorBidi"/>
          <w:sz w:val="28"/>
          <w:szCs w:val="28"/>
        </w:rPr>
        <w:tab/>
        <w:t xml:space="preserve">Ovarian Stimulation TEGGO, Bosch E, Broer S, Griesinger G, Grynberg M, Humaidan P, et al. ESHRE guideline: ovarian stimulation for IVF/ICSI(†). Hum Reprod Open. 2020;2020(2):hoaa009. </w:t>
      </w:r>
    </w:p>
    <w:p w14:paraId="23C7975D" w14:textId="77777777" w:rsidR="003E7397" w:rsidRPr="001C1672" w:rsidRDefault="003E7397" w:rsidP="008167EC">
      <w:pPr>
        <w:pStyle w:val="Bibliography"/>
        <w:bidi w:val="0"/>
        <w:spacing w:line="360" w:lineRule="auto"/>
        <w:jc w:val="both"/>
        <w:rPr>
          <w:rFonts w:asciiTheme="majorBidi" w:hAnsiTheme="majorBidi" w:cstheme="majorBidi"/>
          <w:sz w:val="28"/>
          <w:szCs w:val="28"/>
        </w:rPr>
      </w:pPr>
      <w:r w:rsidRPr="001C1672">
        <w:rPr>
          <w:rFonts w:asciiTheme="majorBidi" w:hAnsiTheme="majorBidi" w:cstheme="majorBidi"/>
          <w:sz w:val="28"/>
          <w:szCs w:val="28"/>
        </w:rPr>
        <w:lastRenderedPageBreak/>
        <w:t>16.</w:t>
      </w:r>
      <w:r w:rsidRPr="001C1672">
        <w:rPr>
          <w:rFonts w:asciiTheme="majorBidi" w:hAnsiTheme="majorBidi" w:cstheme="majorBidi"/>
          <w:sz w:val="28"/>
          <w:szCs w:val="28"/>
        </w:rPr>
        <w:tab/>
        <w:t xml:space="preserve">Dimitry ES, Oskarsson T, Conaghan J, Margara R, Winston RM. Beneficial effects of a 24 h delay in human chorionic gonadotrophin administration during in-vitro fertilization treatment cycles. Hum Reprod Oxf Engl. 1991 Aug;6(7):944–6. </w:t>
      </w:r>
    </w:p>
    <w:p w14:paraId="3B068514" w14:textId="77777777" w:rsidR="003E7397" w:rsidRPr="001C1672" w:rsidRDefault="003E7397" w:rsidP="008167EC">
      <w:pPr>
        <w:pStyle w:val="Bibliography"/>
        <w:bidi w:val="0"/>
        <w:spacing w:line="360" w:lineRule="auto"/>
        <w:jc w:val="both"/>
        <w:rPr>
          <w:rFonts w:asciiTheme="majorBidi" w:hAnsiTheme="majorBidi" w:cstheme="majorBidi"/>
          <w:sz w:val="28"/>
          <w:szCs w:val="28"/>
        </w:rPr>
      </w:pPr>
      <w:r w:rsidRPr="001C1672">
        <w:rPr>
          <w:rFonts w:asciiTheme="majorBidi" w:hAnsiTheme="majorBidi" w:cstheme="majorBidi"/>
          <w:sz w:val="28"/>
          <w:szCs w:val="28"/>
        </w:rPr>
        <w:t>17.</w:t>
      </w:r>
      <w:r w:rsidRPr="001C1672">
        <w:rPr>
          <w:rFonts w:asciiTheme="majorBidi" w:hAnsiTheme="majorBidi" w:cstheme="majorBidi"/>
          <w:sz w:val="28"/>
          <w:szCs w:val="28"/>
        </w:rPr>
        <w:tab/>
        <w:t xml:space="preserve">Comparable clinical outcome using the GnRH antagonist ganirelix or a long protocol of the GnRH agonist triptorelin for the prevention of premature LH  surges in women undergoing ovarian stimulation. Hum Reprod Oxf Engl. 2001 Apr;16(4):644–51. </w:t>
      </w:r>
    </w:p>
    <w:p w14:paraId="042C363F" w14:textId="77777777" w:rsidR="003E7397" w:rsidRPr="001C1672" w:rsidRDefault="003E7397" w:rsidP="008167EC">
      <w:pPr>
        <w:pStyle w:val="Bibliography"/>
        <w:bidi w:val="0"/>
        <w:spacing w:line="360" w:lineRule="auto"/>
        <w:jc w:val="both"/>
        <w:rPr>
          <w:rFonts w:asciiTheme="majorBidi" w:hAnsiTheme="majorBidi" w:cstheme="majorBidi"/>
          <w:sz w:val="28"/>
          <w:szCs w:val="28"/>
        </w:rPr>
      </w:pPr>
      <w:r w:rsidRPr="001C1672">
        <w:rPr>
          <w:rFonts w:asciiTheme="majorBidi" w:hAnsiTheme="majorBidi" w:cstheme="majorBidi"/>
          <w:sz w:val="28"/>
          <w:szCs w:val="28"/>
        </w:rPr>
        <w:t>18.</w:t>
      </w:r>
      <w:r w:rsidRPr="001C1672">
        <w:rPr>
          <w:rFonts w:asciiTheme="majorBidi" w:hAnsiTheme="majorBidi" w:cstheme="majorBidi"/>
          <w:sz w:val="28"/>
          <w:szCs w:val="28"/>
        </w:rPr>
        <w:tab/>
        <w:t xml:space="preserve">Borm G, Mannaerts B. Treatment with the gonadotrophin-releasing hormone antagonist ganirelix in women undergoing ovarian stimulation with recombinant follicle stimulating hormone is  effective, safe and convenient: results of a controlled, randomized, multicentre  trial. The European Orgalutran Study Group. Hum Reprod Oxf Engl. 2000 Jul;15(7):1490–8. </w:t>
      </w:r>
    </w:p>
    <w:p w14:paraId="2F29CA88" w14:textId="77777777" w:rsidR="003E7397" w:rsidRPr="001C1672" w:rsidRDefault="003E7397" w:rsidP="008167EC">
      <w:pPr>
        <w:pStyle w:val="Bibliography"/>
        <w:bidi w:val="0"/>
        <w:spacing w:line="360" w:lineRule="auto"/>
        <w:jc w:val="both"/>
        <w:rPr>
          <w:rFonts w:asciiTheme="majorBidi" w:hAnsiTheme="majorBidi" w:cstheme="majorBidi"/>
          <w:sz w:val="28"/>
          <w:szCs w:val="28"/>
        </w:rPr>
      </w:pPr>
      <w:r w:rsidRPr="001C1672">
        <w:rPr>
          <w:rFonts w:asciiTheme="majorBidi" w:hAnsiTheme="majorBidi" w:cstheme="majorBidi"/>
          <w:sz w:val="28"/>
          <w:szCs w:val="28"/>
        </w:rPr>
        <w:t>19.</w:t>
      </w:r>
      <w:r w:rsidRPr="001C1672">
        <w:rPr>
          <w:rFonts w:asciiTheme="majorBidi" w:hAnsiTheme="majorBidi" w:cstheme="majorBidi"/>
          <w:sz w:val="28"/>
          <w:szCs w:val="28"/>
        </w:rPr>
        <w:tab/>
        <w:t xml:space="preserve">Fluker M, Grifo J, Leader A, Levy M, Meldrum D, Muasher SJ, et al. Efficacy and safety of ganirelix acetate versus leuprolide acetate in women undergoing controlled ovarian hyperstimulation. Fertil Steril. 2001 Jan;75(1):38–45. </w:t>
      </w:r>
    </w:p>
    <w:p w14:paraId="714B8D5C" w14:textId="77777777" w:rsidR="003E7397" w:rsidRPr="001C1672" w:rsidRDefault="003E7397" w:rsidP="008167EC">
      <w:pPr>
        <w:pStyle w:val="Bibliography"/>
        <w:bidi w:val="0"/>
        <w:spacing w:line="360" w:lineRule="auto"/>
        <w:jc w:val="both"/>
        <w:rPr>
          <w:rFonts w:asciiTheme="majorBidi" w:hAnsiTheme="majorBidi" w:cstheme="majorBidi"/>
          <w:sz w:val="28"/>
          <w:szCs w:val="28"/>
        </w:rPr>
      </w:pPr>
      <w:r w:rsidRPr="001C1672">
        <w:rPr>
          <w:rFonts w:asciiTheme="majorBidi" w:hAnsiTheme="majorBidi" w:cstheme="majorBidi"/>
          <w:sz w:val="28"/>
          <w:szCs w:val="28"/>
        </w:rPr>
        <w:t>20.</w:t>
      </w:r>
      <w:r w:rsidRPr="001C1672">
        <w:rPr>
          <w:rFonts w:asciiTheme="majorBidi" w:hAnsiTheme="majorBidi" w:cstheme="majorBidi"/>
          <w:sz w:val="28"/>
          <w:szCs w:val="28"/>
        </w:rPr>
        <w:tab/>
        <w:t xml:space="preserve">Kolibianakis EM, Albano C, Kahn J, Camus M, Tournaye H, Van Steirteghem AC, et al. Exposure to high levels of luteinizing hormone and estradiol in the early follicular phase of gonadotropin-releasing hormone antagonist cycles is  associated with a reduced chance of pregnancy. Fertil Steril. 2003 Apr;79(4):873–80. </w:t>
      </w:r>
    </w:p>
    <w:p w14:paraId="7A7AE6F9" w14:textId="77777777" w:rsidR="003E7397" w:rsidRPr="001C1672" w:rsidRDefault="003E7397" w:rsidP="008167EC">
      <w:pPr>
        <w:pStyle w:val="Bibliography"/>
        <w:bidi w:val="0"/>
        <w:spacing w:line="360" w:lineRule="auto"/>
        <w:jc w:val="both"/>
        <w:rPr>
          <w:rFonts w:asciiTheme="majorBidi" w:hAnsiTheme="majorBidi" w:cstheme="majorBidi"/>
          <w:sz w:val="28"/>
          <w:szCs w:val="28"/>
        </w:rPr>
      </w:pPr>
      <w:r w:rsidRPr="001C1672">
        <w:rPr>
          <w:rFonts w:asciiTheme="majorBidi" w:hAnsiTheme="majorBidi" w:cstheme="majorBidi"/>
          <w:sz w:val="28"/>
          <w:szCs w:val="28"/>
        </w:rPr>
        <w:t>21.</w:t>
      </w:r>
      <w:r w:rsidRPr="001C1672">
        <w:rPr>
          <w:rFonts w:asciiTheme="majorBidi" w:hAnsiTheme="majorBidi" w:cstheme="majorBidi"/>
          <w:sz w:val="28"/>
          <w:szCs w:val="28"/>
        </w:rPr>
        <w:tab/>
        <w:t xml:space="preserve">Garcia-Velasco JA, Isaza V, Vidal C, Landazábal A, Remohí J, Simón C, et al. Human ovarian steroid secretion in vivo: effects of GnRH agonist versus antagonist (cetrorelix). Hum Reprod Oxf Engl. 2001 Dec;16(12):2533–9. </w:t>
      </w:r>
    </w:p>
    <w:p w14:paraId="57FBD5AB" w14:textId="77777777" w:rsidR="003E7397" w:rsidRPr="001C1672" w:rsidRDefault="003E7397" w:rsidP="008167EC">
      <w:pPr>
        <w:pStyle w:val="Bibliography"/>
        <w:bidi w:val="0"/>
        <w:spacing w:line="360" w:lineRule="auto"/>
        <w:jc w:val="both"/>
        <w:rPr>
          <w:rFonts w:asciiTheme="majorBidi" w:hAnsiTheme="majorBidi" w:cstheme="majorBidi"/>
          <w:sz w:val="28"/>
          <w:szCs w:val="28"/>
        </w:rPr>
      </w:pPr>
      <w:r w:rsidRPr="001C1672">
        <w:rPr>
          <w:rFonts w:asciiTheme="majorBidi" w:hAnsiTheme="majorBidi" w:cstheme="majorBidi"/>
          <w:sz w:val="28"/>
          <w:szCs w:val="28"/>
        </w:rPr>
        <w:lastRenderedPageBreak/>
        <w:t>22.</w:t>
      </w:r>
      <w:r w:rsidRPr="001C1672">
        <w:rPr>
          <w:rFonts w:asciiTheme="majorBidi" w:hAnsiTheme="majorBidi" w:cstheme="majorBidi"/>
          <w:sz w:val="28"/>
          <w:szCs w:val="28"/>
        </w:rPr>
        <w:tab/>
        <w:t xml:space="preserve">Letterie G. Artificial intelligence and assisted reproductive technologies: 2023. Ready for prime time? Or not. Fertil Steril. 2023 Jul;120(1):32–7. </w:t>
      </w:r>
    </w:p>
    <w:p w14:paraId="7340DAA8" w14:textId="77777777" w:rsidR="003E7397" w:rsidRPr="001C1672" w:rsidRDefault="003E7397" w:rsidP="008167EC">
      <w:pPr>
        <w:pStyle w:val="Bibliography"/>
        <w:bidi w:val="0"/>
        <w:spacing w:line="360" w:lineRule="auto"/>
        <w:jc w:val="both"/>
        <w:rPr>
          <w:rFonts w:asciiTheme="majorBidi" w:hAnsiTheme="majorBidi" w:cstheme="majorBidi"/>
          <w:sz w:val="28"/>
          <w:szCs w:val="28"/>
        </w:rPr>
      </w:pPr>
      <w:r w:rsidRPr="001C1672">
        <w:rPr>
          <w:rFonts w:asciiTheme="majorBidi" w:hAnsiTheme="majorBidi" w:cstheme="majorBidi"/>
          <w:sz w:val="28"/>
          <w:szCs w:val="28"/>
        </w:rPr>
        <w:t>23.</w:t>
      </w:r>
      <w:r w:rsidRPr="001C1672">
        <w:rPr>
          <w:rFonts w:asciiTheme="majorBidi" w:hAnsiTheme="majorBidi" w:cstheme="majorBidi"/>
          <w:sz w:val="28"/>
          <w:szCs w:val="28"/>
        </w:rPr>
        <w:tab/>
        <w:t xml:space="preserve">Hariton E, Pavlovic Z, Fanton M, Jiang VS. Applications of artificial intelligence in ovarian stimulation: a tool for improving efficiency and outcomes. Fertil Steril. 2023 Jul;120(1):8–16. </w:t>
      </w:r>
    </w:p>
    <w:p w14:paraId="32AFD9F4" w14:textId="3EE67299" w:rsidR="00823FBF" w:rsidRPr="001C1672" w:rsidRDefault="00F21CF3" w:rsidP="008167EC">
      <w:pPr>
        <w:bidi w:val="0"/>
        <w:spacing w:line="360" w:lineRule="auto"/>
        <w:jc w:val="both"/>
        <w:rPr>
          <w:rFonts w:asciiTheme="majorBidi" w:hAnsiTheme="majorBidi" w:cstheme="majorBidi"/>
          <w:sz w:val="28"/>
          <w:szCs w:val="28"/>
        </w:rPr>
      </w:pPr>
      <w:r w:rsidRPr="001C1672">
        <w:rPr>
          <w:rFonts w:asciiTheme="majorBidi" w:hAnsiTheme="majorBidi" w:cstheme="majorBidi"/>
          <w:sz w:val="28"/>
          <w:szCs w:val="28"/>
        </w:rPr>
        <w:fldChar w:fldCharType="end"/>
      </w:r>
    </w:p>
    <w:sectPr w:rsidR="00823FBF" w:rsidRPr="001C167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CDD5D" w14:textId="77777777" w:rsidR="00B669DF" w:rsidRDefault="00B669DF" w:rsidP="0085166C">
      <w:pPr>
        <w:spacing w:after="0" w:line="240" w:lineRule="auto"/>
      </w:pPr>
      <w:r>
        <w:separator/>
      </w:r>
    </w:p>
  </w:endnote>
  <w:endnote w:type="continuationSeparator" w:id="0">
    <w:p w14:paraId="6D394426" w14:textId="77777777" w:rsidR="00B669DF" w:rsidRDefault="00B669DF" w:rsidP="00851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6B167" w14:textId="77777777" w:rsidR="00B669DF" w:rsidRDefault="00B669DF" w:rsidP="0085166C">
      <w:pPr>
        <w:spacing w:after="0" w:line="240" w:lineRule="auto"/>
      </w:pPr>
      <w:r>
        <w:separator/>
      </w:r>
    </w:p>
  </w:footnote>
  <w:footnote w:type="continuationSeparator" w:id="0">
    <w:p w14:paraId="541F9767" w14:textId="77777777" w:rsidR="00B669DF" w:rsidRDefault="00B669DF" w:rsidP="008516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00F"/>
    <w:multiLevelType w:val="multilevel"/>
    <w:tmpl w:val="A6C4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24A1C"/>
    <w:multiLevelType w:val="hybridMultilevel"/>
    <w:tmpl w:val="9368A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75844"/>
    <w:multiLevelType w:val="hybridMultilevel"/>
    <w:tmpl w:val="EECC8728"/>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23452"/>
    <w:multiLevelType w:val="multilevel"/>
    <w:tmpl w:val="D34C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FE53DF"/>
    <w:multiLevelType w:val="multilevel"/>
    <w:tmpl w:val="A22C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00201F"/>
    <w:multiLevelType w:val="multilevel"/>
    <w:tmpl w:val="0458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B26031"/>
    <w:multiLevelType w:val="hybridMultilevel"/>
    <w:tmpl w:val="CB58A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68018A"/>
    <w:multiLevelType w:val="multilevel"/>
    <w:tmpl w:val="78D60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0E527F"/>
    <w:multiLevelType w:val="multilevel"/>
    <w:tmpl w:val="37B44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D65723"/>
    <w:multiLevelType w:val="multilevel"/>
    <w:tmpl w:val="6A0C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D867FC"/>
    <w:multiLevelType w:val="multilevel"/>
    <w:tmpl w:val="E740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876989"/>
    <w:multiLevelType w:val="hybridMultilevel"/>
    <w:tmpl w:val="CCE4C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FF00BC9"/>
    <w:multiLevelType w:val="multilevel"/>
    <w:tmpl w:val="AA703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066F0B"/>
    <w:multiLevelType w:val="hybridMultilevel"/>
    <w:tmpl w:val="B20E7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7C7CEC"/>
    <w:multiLevelType w:val="multilevel"/>
    <w:tmpl w:val="547E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796F38"/>
    <w:multiLevelType w:val="hybridMultilevel"/>
    <w:tmpl w:val="EF4E0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536577"/>
    <w:multiLevelType w:val="multilevel"/>
    <w:tmpl w:val="829A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B2067F"/>
    <w:multiLevelType w:val="multilevel"/>
    <w:tmpl w:val="D62E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ED5CC3"/>
    <w:multiLevelType w:val="multilevel"/>
    <w:tmpl w:val="BD2A7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947A3E"/>
    <w:multiLevelType w:val="hybridMultilevel"/>
    <w:tmpl w:val="CCE4C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A73290"/>
    <w:multiLevelType w:val="hybridMultilevel"/>
    <w:tmpl w:val="1E2AA8B0"/>
    <w:lvl w:ilvl="0" w:tplc="D234C5EA">
      <w:start w:val="1"/>
      <w:numFmt w:val="decimal"/>
      <w:lvlText w:val="%1."/>
      <w:lvlJc w:val="left"/>
      <w:pPr>
        <w:ind w:left="720" w:hanging="360"/>
      </w:pPr>
      <w:rPr>
        <w:rFonts w:asciiTheme="majorBidi" w:hAnsiTheme="majorBidi" w:cstheme="majorBid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F02F85"/>
    <w:multiLevelType w:val="multilevel"/>
    <w:tmpl w:val="92EA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244EC5"/>
    <w:multiLevelType w:val="multilevel"/>
    <w:tmpl w:val="6090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A16030"/>
    <w:multiLevelType w:val="multilevel"/>
    <w:tmpl w:val="A07AF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7F59AA"/>
    <w:multiLevelType w:val="multilevel"/>
    <w:tmpl w:val="5212C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1C2180"/>
    <w:multiLevelType w:val="multilevel"/>
    <w:tmpl w:val="C0CCC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026068"/>
    <w:multiLevelType w:val="multilevel"/>
    <w:tmpl w:val="69848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3C00BE"/>
    <w:multiLevelType w:val="multilevel"/>
    <w:tmpl w:val="2DE8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6483104">
    <w:abstractNumId w:val="17"/>
  </w:num>
  <w:num w:numId="2" w16cid:durableId="227493683">
    <w:abstractNumId w:val="2"/>
  </w:num>
  <w:num w:numId="3" w16cid:durableId="1777359885">
    <w:abstractNumId w:val="1"/>
  </w:num>
  <w:num w:numId="4" w16cid:durableId="1775704871">
    <w:abstractNumId w:val="13"/>
  </w:num>
  <w:num w:numId="5" w16cid:durableId="871453812">
    <w:abstractNumId w:val="26"/>
  </w:num>
  <w:num w:numId="6" w16cid:durableId="1658147526">
    <w:abstractNumId w:val="25"/>
  </w:num>
  <w:num w:numId="7" w16cid:durableId="461271293">
    <w:abstractNumId w:val="9"/>
  </w:num>
  <w:num w:numId="8" w16cid:durableId="1569460541">
    <w:abstractNumId w:val="3"/>
  </w:num>
  <w:num w:numId="9" w16cid:durableId="1461611563">
    <w:abstractNumId w:val="5"/>
  </w:num>
  <w:num w:numId="10" w16cid:durableId="97674806">
    <w:abstractNumId w:val="14"/>
  </w:num>
  <w:num w:numId="11" w16cid:durableId="2027168361">
    <w:abstractNumId w:val="10"/>
  </w:num>
  <w:num w:numId="12" w16cid:durableId="579873775">
    <w:abstractNumId w:val="18"/>
  </w:num>
  <w:num w:numId="13" w16cid:durableId="846024166">
    <w:abstractNumId w:val="15"/>
  </w:num>
  <w:num w:numId="14" w16cid:durableId="328800482">
    <w:abstractNumId w:val="19"/>
  </w:num>
  <w:num w:numId="15" w16cid:durableId="741295541">
    <w:abstractNumId w:val="11"/>
  </w:num>
  <w:num w:numId="16" w16cid:durableId="1259290760">
    <w:abstractNumId w:val="23"/>
  </w:num>
  <w:num w:numId="17" w16cid:durableId="1371033295">
    <w:abstractNumId w:val="7"/>
  </w:num>
  <w:num w:numId="18" w16cid:durableId="808936541">
    <w:abstractNumId w:val="12"/>
  </w:num>
  <w:num w:numId="19" w16cid:durableId="1937519889">
    <w:abstractNumId w:val="16"/>
  </w:num>
  <w:num w:numId="20" w16cid:durableId="1206454880">
    <w:abstractNumId w:val="8"/>
  </w:num>
  <w:num w:numId="21" w16cid:durableId="880552552">
    <w:abstractNumId w:val="27"/>
  </w:num>
  <w:num w:numId="22" w16cid:durableId="1202281273">
    <w:abstractNumId w:val="4"/>
  </w:num>
  <w:num w:numId="23" w16cid:durableId="602810917">
    <w:abstractNumId w:val="22"/>
  </w:num>
  <w:num w:numId="24" w16cid:durableId="1664431006">
    <w:abstractNumId w:val="24"/>
  </w:num>
  <w:num w:numId="25" w16cid:durableId="58795192">
    <w:abstractNumId w:val="0"/>
  </w:num>
  <w:num w:numId="26" w16cid:durableId="552497012">
    <w:abstractNumId w:val="6"/>
  </w:num>
  <w:num w:numId="27" w16cid:durableId="357001230">
    <w:abstractNumId w:val="20"/>
  </w:num>
  <w:num w:numId="28" w16cid:durableId="11637409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20C"/>
    <w:rsid w:val="000163F1"/>
    <w:rsid w:val="000207BA"/>
    <w:rsid w:val="000635CB"/>
    <w:rsid w:val="0008720C"/>
    <w:rsid w:val="000A1D89"/>
    <w:rsid w:val="000C0BF8"/>
    <w:rsid w:val="000C7977"/>
    <w:rsid w:val="000D0081"/>
    <w:rsid w:val="00107C9C"/>
    <w:rsid w:val="00110761"/>
    <w:rsid w:val="00146865"/>
    <w:rsid w:val="00157C92"/>
    <w:rsid w:val="001A12E7"/>
    <w:rsid w:val="001B6150"/>
    <w:rsid w:val="001C1672"/>
    <w:rsid w:val="001F108A"/>
    <w:rsid w:val="002150D2"/>
    <w:rsid w:val="00241C70"/>
    <w:rsid w:val="002505E5"/>
    <w:rsid w:val="00273AD0"/>
    <w:rsid w:val="002A2261"/>
    <w:rsid w:val="002A4210"/>
    <w:rsid w:val="002A6FC0"/>
    <w:rsid w:val="002F1A95"/>
    <w:rsid w:val="00341A0B"/>
    <w:rsid w:val="0034306F"/>
    <w:rsid w:val="003E7397"/>
    <w:rsid w:val="00416E23"/>
    <w:rsid w:val="00427BFA"/>
    <w:rsid w:val="00431C1B"/>
    <w:rsid w:val="0043325D"/>
    <w:rsid w:val="0048172E"/>
    <w:rsid w:val="00487E99"/>
    <w:rsid w:val="00493A66"/>
    <w:rsid w:val="004A514C"/>
    <w:rsid w:val="004B47A0"/>
    <w:rsid w:val="004E1CCF"/>
    <w:rsid w:val="004F7C70"/>
    <w:rsid w:val="00535620"/>
    <w:rsid w:val="00544A47"/>
    <w:rsid w:val="0057043B"/>
    <w:rsid w:val="005A3C52"/>
    <w:rsid w:val="006E0832"/>
    <w:rsid w:val="007D41A7"/>
    <w:rsid w:val="008064A6"/>
    <w:rsid w:val="008167EC"/>
    <w:rsid w:val="00823FBF"/>
    <w:rsid w:val="008315E2"/>
    <w:rsid w:val="0085166C"/>
    <w:rsid w:val="00865750"/>
    <w:rsid w:val="008A0DE0"/>
    <w:rsid w:val="009064BB"/>
    <w:rsid w:val="00914433"/>
    <w:rsid w:val="009152E5"/>
    <w:rsid w:val="0093521C"/>
    <w:rsid w:val="00961480"/>
    <w:rsid w:val="009726CE"/>
    <w:rsid w:val="00980F5D"/>
    <w:rsid w:val="00A26B7F"/>
    <w:rsid w:val="00A333A9"/>
    <w:rsid w:val="00A83E5F"/>
    <w:rsid w:val="00AE7166"/>
    <w:rsid w:val="00B16F20"/>
    <w:rsid w:val="00B325DB"/>
    <w:rsid w:val="00B61840"/>
    <w:rsid w:val="00B669DF"/>
    <w:rsid w:val="00B7419C"/>
    <w:rsid w:val="00BB3A82"/>
    <w:rsid w:val="00BC27E9"/>
    <w:rsid w:val="00C30408"/>
    <w:rsid w:val="00CF2929"/>
    <w:rsid w:val="00D62E40"/>
    <w:rsid w:val="00DB0DEA"/>
    <w:rsid w:val="00E40CFA"/>
    <w:rsid w:val="00E65FCD"/>
    <w:rsid w:val="00E86199"/>
    <w:rsid w:val="00EB3EE7"/>
    <w:rsid w:val="00EC3142"/>
    <w:rsid w:val="00EC4720"/>
    <w:rsid w:val="00EC5ED1"/>
    <w:rsid w:val="00F21CF3"/>
    <w:rsid w:val="00F310AF"/>
    <w:rsid w:val="00F424C5"/>
    <w:rsid w:val="00F87BF9"/>
    <w:rsid w:val="00FA0E34"/>
    <w:rsid w:val="00FB1923"/>
    <w:rsid w:val="00FD0701"/>
    <w:rsid w:val="00FE39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25124"/>
  <w15:chartTrackingRefBased/>
  <w15:docId w15:val="{3B9CDC66-8FF1-3E43-906A-EBF26038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20C"/>
    <w:pPr>
      <w:bidi/>
      <w:spacing w:line="259" w:lineRule="auto"/>
    </w:pPr>
    <w:rPr>
      <w:kern w:val="0"/>
      <w:sz w:val="22"/>
      <w:szCs w:val="22"/>
      <w14:ligatures w14:val="none"/>
    </w:rPr>
  </w:style>
  <w:style w:type="paragraph" w:styleId="Heading1">
    <w:name w:val="heading 1"/>
    <w:basedOn w:val="Normal"/>
    <w:next w:val="Normal"/>
    <w:link w:val="Heading1Char"/>
    <w:uiPriority w:val="9"/>
    <w:qFormat/>
    <w:rsid w:val="000872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72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72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72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72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72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72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72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72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20C"/>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08720C"/>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08720C"/>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08720C"/>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08720C"/>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08720C"/>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08720C"/>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08720C"/>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08720C"/>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0872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20C"/>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0872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720C"/>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08720C"/>
    <w:pPr>
      <w:spacing w:before="160"/>
      <w:jc w:val="center"/>
    </w:pPr>
    <w:rPr>
      <w:i/>
      <w:iCs/>
      <w:color w:val="404040" w:themeColor="text1" w:themeTint="BF"/>
    </w:rPr>
  </w:style>
  <w:style w:type="character" w:customStyle="1" w:styleId="QuoteChar">
    <w:name w:val="Quote Char"/>
    <w:basedOn w:val="DefaultParagraphFont"/>
    <w:link w:val="Quote"/>
    <w:uiPriority w:val="29"/>
    <w:rsid w:val="0008720C"/>
    <w:rPr>
      <w:i/>
      <w:iCs/>
      <w:color w:val="404040" w:themeColor="text1" w:themeTint="BF"/>
      <w:lang w:val="en-US"/>
    </w:rPr>
  </w:style>
  <w:style w:type="paragraph" w:styleId="ListParagraph">
    <w:name w:val="List Paragraph"/>
    <w:basedOn w:val="Normal"/>
    <w:uiPriority w:val="34"/>
    <w:qFormat/>
    <w:rsid w:val="0008720C"/>
    <w:pPr>
      <w:ind w:left="720"/>
      <w:contextualSpacing/>
    </w:pPr>
  </w:style>
  <w:style w:type="character" w:styleId="IntenseEmphasis">
    <w:name w:val="Intense Emphasis"/>
    <w:basedOn w:val="DefaultParagraphFont"/>
    <w:uiPriority w:val="21"/>
    <w:qFormat/>
    <w:rsid w:val="0008720C"/>
    <w:rPr>
      <w:i/>
      <w:iCs/>
      <w:color w:val="0F4761" w:themeColor="accent1" w:themeShade="BF"/>
    </w:rPr>
  </w:style>
  <w:style w:type="paragraph" w:styleId="IntenseQuote">
    <w:name w:val="Intense Quote"/>
    <w:basedOn w:val="Normal"/>
    <w:next w:val="Normal"/>
    <w:link w:val="IntenseQuoteChar"/>
    <w:uiPriority w:val="30"/>
    <w:qFormat/>
    <w:rsid w:val="000872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720C"/>
    <w:rPr>
      <w:i/>
      <w:iCs/>
      <w:color w:val="0F4761" w:themeColor="accent1" w:themeShade="BF"/>
      <w:lang w:val="en-US"/>
    </w:rPr>
  </w:style>
  <w:style w:type="character" w:styleId="IntenseReference">
    <w:name w:val="Intense Reference"/>
    <w:basedOn w:val="DefaultParagraphFont"/>
    <w:uiPriority w:val="32"/>
    <w:qFormat/>
    <w:rsid w:val="0008720C"/>
    <w:rPr>
      <w:b/>
      <w:bCs/>
      <w:smallCaps/>
      <w:color w:val="0F4761" w:themeColor="accent1" w:themeShade="BF"/>
      <w:spacing w:val="5"/>
    </w:rPr>
  </w:style>
  <w:style w:type="character" w:styleId="Strong">
    <w:name w:val="Strong"/>
    <w:basedOn w:val="DefaultParagraphFont"/>
    <w:uiPriority w:val="22"/>
    <w:qFormat/>
    <w:rsid w:val="0008720C"/>
    <w:rPr>
      <w:b/>
      <w:bCs/>
    </w:rPr>
  </w:style>
  <w:style w:type="paragraph" w:styleId="NormalWeb">
    <w:name w:val="Normal (Web)"/>
    <w:basedOn w:val="Normal"/>
    <w:uiPriority w:val="99"/>
    <w:unhideWhenUsed/>
    <w:rsid w:val="0008720C"/>
    <w:pPr>
      <w:bidi w:val="0"/>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B3EE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6FC0"/>
    <w:rPr>
      <w:color w:val="467886" w:themeColor="hyperlink"/>
      <w:u w:val="single"/>
    </w:rPr>
  </w:style>
  <w:style w:type="character" w:customStyle="1" w:styleId="UnresolvedMention1">
    <w:name w:val="Unresolved Mention1"/>
    <w:basedOn w:val="DefaultParagraphFont"/>
    <w:uiPriority w:val="99"/>
    <w:semiHidden/>
    <w:unhideWhenUsed/>
    <w:rsid w:val="002A6FC0"/>
    <w:rPr>
      <w:color w:val="605E5C"/>
      <w:shd w:val="clear" w:color="auto" w:fill="E1DFDD"/>
    </w:rPr>
  </w:style>
  <w:style w:type="character" w:styleId="FollowedHyperlink">
    <w:name w:val="FollowedHyperlink"/>
    <w:basedOn w:val="DefaultParagraphFont"/>
    <w:uiPriority w:val="99"/>
    <w:semiHidden/>
    <w:unhideWhenUsed/>
    <w:rsid w:val="002A6FC0"/>
    <w:rPr>
      <w:color w:val="96607D" w:themeColor="followedHyperlink"/>
      <w:u w:val="single"/>
    </w:rPr>
  </w:style>
  <w:style w:type="paragraph" w:styleId="Bibliography">
    <w:name w:val="Bibliography"/>
    <w:basedOn w:val="Normal"/>
    <w:next w:val="Normal"/>
    <w:uiPriority w:val="37"/>
    <w:unhideWhenUsed/>
    <w:rsid w:val="00F21CF3"/>
    <w:pPr>
      <w:tabs>
        <w:tab w:val="left" w:pos="264"/>
      </w:tabs>
      <w:spacing w:after="240" w:line="240" w:lineRule="auto"/>
      <w:ind w:left="264" w:hanging="264"/>
    </w:pPr>
  </w:style>
  <w:style w:type="paragraph" w:styleId="Header">
    <w:name w:val="header"/>
    <w:basedOn w:val="Normal"/>
    <w:link w:val="HeaderChar"/>
    <w:uiPriority w:val="99"/>
    <w:unhideWhenUsed/>
    <w:rsid w:val="00851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66C"/>
    <w:rPr>
      <w:kern w:val="0"/>
      <w:sz w:val="22"/>
      <w:szCs w:val="22"/>
      <w14:ligatures w14:val="none"/>
    </w:rPr>
  </w:style>
  <w:style w:type="paragraph" w:styleId="Footer">
    <w:name w:val="footer"/>
    <w:basedOn w:val="Normal"/>
    <w:link w:val="FooterChar"/>
    <w:uiPriority w:val="99"/>
    <w:unhideWhenUsed/>
    <w:rsid w:val="00851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66C"/>
    <w:rPr>
      <w:kern w:val="0"/>
      <w:sz w:val="22"/>
      <w:szCs w:val="22"/>
      <w14:ligatures w14:val="none"/>
    </w:rPr>
  </w:style>
  <w:style w:type="paragraph" w:customStyle="1" w:styleId="Default">
    <w:name w:val="Default"/>
    <w:rsid w:val="008064A6"/>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14293">
      <w:bodyDiv w:val="1"/>
      <w:marLeft w:val="0"/>
      <w:marRight w:val="0"/>
      <w:marTop w:val="0"/>
      <w:marBottom w:val="0"/>
      <w:divBdr>
        <w:top w:val="none" w:sz="0" w:space="0" w:color="auto"/>
        <w:left w:val="none" w:sz="0" w:space="0" w:color="auto"/>
        <w:bottom w:val="none" w:sz="0" w:space="0" w:color="auto"/>
        <w:right w:val="none" w:sz="0" w:space="0" w:color="auto"/>
      </w:divBdr>
    </w:div>
    <w:div w:id="39332772">
      <w:bodyDiv w:val="1"/>
      <w:marLeft w:val="0"/>
      <w:marRight w:val="0"/>
      <w:marTop w:val="0"/>
      <w:marBottom w:val="0"/>
      <w:divBdr>
        <w:top w:val="none" w:sz="0" w:space="0" w:color="auto"/>
        <w:left w:val="none" w:sz="0" w:space="0" w:color="auto"/>
        <w:bottom w:val="none" w:sz="0" w:space="0" w:color="auto"/>
        <w:right w:val="none" w:sz="0" w:space="0" w:color="auto"/>
      </w:divBdr>
    </w:div>
    <w:div w:id="130951194">
      <w:bodyDiv w:val="1"/>
      <w:marLeft w:val="0"/>
      <w:marRight w:val="0"/>
      <w:marTop w:val="0"/>
      <w:marBottom w:val="0"/>
      <w:divBdr>
        <w:top w:val="none" w:sz="0" w:space="0" w:color="auto"/>
        <w:left w:val="none" w:sz="0" w:space="0" w:color="auto"/>
        <w:bottom w:val="none" w:sz="0" w:space="0" w:color="auto"/>
        <w:right w:val="none" w:sz="0" w:space="0" w:color="auto"/>
      </w:divBdr>
    </w:div>
    <w:div w:id="270817304">
      <w:bodyDiv w:val="1"/>
      <w:marLeft w:val="0"/>
      <w:marRight w:val="0"/>
      <w:marTop w:val="0"/>
      <w:marBottom w:val="0"/>
      <w:divBdr>
        <w:top w:val="none" w:sz="0" w:space="0" w:color="auto"/>
        <w:left w:val="none" w:sz="0" w:space="0" w:color="auto"/>
        <w:bottom w:val="none" w:sz="0" w:space="0" w:color="auto"/>
        <w:right w:val="none" w:sz="0" w:space="0" w:color="auto"/>
      </w:divBdr>
      <w:divsChild>
        <w:div w:id="78793763">
          <w:marLeft w:val="0"/>
          <w:marRight w:val="0"/>
          <w:marTop w:val="0"/>
          <w:marBottom w:val="0"/>
          <w:divBdr>
            <w:top w:val="none" w:sz="0" w:space="0" w:color="auto"/>
            <w:left w:val="none" w:sz="0" w:space="0" w:color="auto"/>
            <w:bottom w:val="none" w:sz="0" w:space="0" w:color="auto"/>
            <w:right w:val="none" w:sz="0" w:space="0" w:color="auto"/>
          </w:divBdr>
        </w:div>
      </w:divsChild>
    </w:div>
    <w:div w:id="496576501">
      <w:bodyDiv w:val="1"/>
      <w:marLeft w:val="0"/>
      <w:marRight w:val="0"/>
      <w:marTop w:val="0"/>
      <w:marBottom w:val="0"/>
      <w:divBdr>
        <w:top w:val="none" w:sz="0" w:space="0" w:color="auto"/>
        <w:left w:val="none" w:sz="0" w:space="0" w:color="auto"/>
        <w:bottom w:val="none" w:sz="0" w:space="0" w:color="auto"/>
        <w:right w:val="none" w:sz="0" w:space="0" w:color="auto"/>
      </w:divBdr>
    </w:div>
    <w:div w:id="790133153">
      <w:bodyDiv w:val="1"/>
      <w:marLeft w:val="0"/>
      <w:marRight w:val="0"/>
      <w:marTop w:val="0"/>
      <w:marBottom w:val="0"/>
      <w:divBdr>
        <w:top w:val="none" w:sz="0" w:space="0" w:color="auto"/>
        <w:left w:val="none" w:sz="0" w:space="0" w:color="auto"/>
        <w:bottom w:val="none" w:sz="0" w:space="0" w:color="auto"/>
        <w:right w:val="none" w:sz="0" w:space="0" w:color="auto"/>
      </w:divBdr>
    </w:div>
    <w:div w:id="915164744">
      <w:bodyDiv w:val="1"/>
      <w:marLeft w:val="0"/>
      <w:marRight w:val="0"/>
      <w:marTop w:val="0"/>
      <w:marBottom w:val="0"/>
      <w:divBdr>
        <w:top w:val="none" w:sz="0" w:space="0" w:color="auto"/>
        <w:left w:val="none" w:sz="0" w:space="0" w:color="auto"/>
        <w:bottom w:val="none" w:sz="0" w:space="0" w:color="auto"/>
        <w:right w:val="none" w:sz="0" w:space="0" w:color="auto"/>
      </w:divBdr>
    </w:div>
    <w:div w:id="1047416243">
      <w:bodyDiv w:val="1"/>
      <w:marLeft w:val="0"/>
      <w:marRight w:val="0"/>
      <w:marTop w:val="0"/>
      <w:marBottom w:val="0"/>
      <w:divBdr>
        <w:top w:val="none" w:sz="0" w:space="0" w:color="auto"/>
        <w:left w:val="none" w:sz="0" w:space="0" w:color="auto"/>
        <w:bottom w:val="none" w:sz="0" w:space="0" w:color="auto"/>
        <w:right w:val="none" w:sz="0" w:space="0" w:color="auto"/>
      </w:divBdr>
    </w:div>
    <w:div w:id="1225028010">
      <w:bodyDiv w:val="1"/>
      <w:marLeft w:val="0"/>
      <w:marRight w:val="0"/>
      <w:marTop w:val="0"/>
      <w:marBottom w:val="0"/>
      <w:divBdr>
        <w:top w:val="none" w:sz="0" w:space="0" w:color="auto"/>
        <w:left w:val="none" w:sz="0" w:space="0" w:color="auto"/>
        <w:bottom w:val="none" w:sz="0" w:space="0" w:color="auto"/>
        <w:right w:val="none" w:sz="0" w:space="0" w:color="auto"/>
      </w:divBdr>
    </w:div>
    <w:div w:id="1693913400">
      <w:bodyDiv w:val="1"/>
      <w:marLeft w:val="0"/>
      <w:marRight w:val="0"/>
      <w:marTop w:val="0"/>
      <w:marBottom w:val="0"/>
      <w:divBdr>
        <w:top w:val="none" w:sz="0" w:space="0" w:color="auto"/>
        <w:left w:val="none" w:sz="0" w:space="0" w:color="auto"/>
        <w:bottom w:val="none" w:sz="0" w:space="0" w:color="auto"/>
        <w:right w:val="none" w:sz="0" w:space="0" w:color="auto"/>
      </w:divBdr>
      <w:divsChild>
        <w:div w:id="1694383664">
          <w:marLeft w:val="0"/>
          <w:marRight w:val="0"/>
          <w:marTop w:val="0"/>
          <w:marBottom w:val="0"/>
          <w:divBdr>
            <w:top w:val="none" w:sz="0" w:space="0" w:color="auto"/>
            <w:left w:val="none" w:sz="0" w:space="0" w:color="auto"/>
            <w:bottom w:val="none" w:sz="0" w:space="0" w:color="auto"/>
            <w:right w:val="none" w:sz="0" w:space="0" w:color="auto"/>
          </w:divBdr>
        </w:div>
      </w:divsChild>
    </w:div>
    <w:div w:id="1702323553">
      <w:bodyDiv w:val="1"/>
      <w:marLeft w:val="0"/>
      <w:marRight w:val="0"/>
      <w:marTop w:val="0"/>
      <w:marBottom w:val="0"/>
      <w:divBdr>
        <w:top w:val="none" w:sz="0" w:space="0" w:color="auto"/>
        <w:left w:val="none" w:sz="0" w:space="0" w:color="auto"/>
        <w:bottom w:val="none" w:sz="0" w:space="0" w:color="auto"/>
        <w:right w:val="none" w:sz="0" w:space="0" w:color="auto"/>
      </w:divBdr>
    </w:div>
    <w:div w:id="17343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20</Pages>
  <Words>8372</Words>
  <Characters>47722</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c705</dc:creator>
  <cp:keywords/>
  <dc:description/>
  <cp:lastModifiedBy>Karim Mekhimer</cp:lastModifiedBy>
  <cp:revision>2</cp:revision>
  <dcterms:created xsi:type="dcterms:W3CDTF">2025-03-29T23:05:00Z</dcterms:created>
  <dcterms:modified xsi:type="dcterms:W3CDTF">2025-03-29T23:05:00Z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id="2GGM0wTG"/&gt;&lt;style id="http://www.zotero.org/styles/vancouver" locale="en-GB"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